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关于举办2020年拍卖考前辅导的通知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各省（区、市）拍卖行业协会、各拍卖企业：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为了推进行业人才建设，提高从业人员素质，满足相关人员系统学习拍卖理论知识的需求，同时也为提高学员学习效率，降低学习成本，今年将采取线上方式进行培训。中国拍卖行业协会将于7月底开通拍卖考前辅导，现将相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一、课程内容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（一）《拍卖概论》：重点讲授拍卖基本原则、价格形成机制、拍卖主体及拍卖活动基本原理等内容；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（二）《拍卖实务》：重点讲授我国拍卖市场、拍卖市场主要标的、拍卖方式等内容；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（三）《拍卖法律教程》：重点讲授《拍卖法》及拍卖相关法律法规，解析拍卖典型案例。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二、培训方式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学员缴费成功后可在7月27日至考试前登录平台在线观看《拍卖概论》、《拍卖实务》和《拍卖法律教程》三门课程内容。学习内容可重复播放，但一个账号不得同时多点登陆，一旦发现将禁止使用。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三、培训师资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培训师资为对拍卖理论及实践有深入研究，同时对考试有深入研究的拍卖专业人士。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四、赠送课程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为使学员有足够时间了解熟悉主持技巧内容并加以练习，凡报名参加网络课程学员，赠送为期三天的现场技巧培训课程。限额300名，额满为止。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五、报名及缴费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请有意参加学习的人员，登陆后点击下方报名链接，填写报名信息缴纳培训费用（2000元/人），显示已缴费即报名成功。主持技巧培训期间食宿费自理。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六、培训时间、地点：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在线学习时间：7月27日至10月16日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Style w:val="8"/>
          <w:rFonts w:hint="default" w:ascii="Helvetica" w:hAnsi="Helvetica" w:eastAsia="Helvetica" w:cs="Helvetica"/>
          <w:i w:val="0"/>
          <w:caps w:val="0"/>
          <w:color w:val="333333"/>
          <w:spacing w:val="0"/>
          <w:kern w:val="0"/>
          <w:sz w:val="27"/>
          <w:szCs w:val="27"/>
          <w:u w:val="none"/>
          <w:bdr w:val="none" w:color="auto" w:sz="0" w:space="0"/>
          <w:lang w:val="en-US" w:eastAsia="zh-CN" w:bidi="ar"/>
        </w:rPr>
        <w:t>主持技巧培训时间：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报到时间：2020年8月15日10点-18点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培训时间：8月16日至18日 中午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培训地点：天津 ▪ 维也纳国际酒店（贵州路店）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下附酒店交通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（一）报名链接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88"/>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spacing w:val="0"/>
          <w:kern w:val="0"/>
          <w:sz w:val="21"/>
          <w:szCs w:val="21"/>
          <w:u w:val="none"/>
          <w:bdr w:val="none" w:color="auto" w:sz="0" w:space="0"/>
          <w:lang w:val="en-US" w:eastAsia="zh-CN" w:bidi="ar"/>
        </w:rPr>
        <w:instrText xml:space="preserve"> HYPERLINK "http://www.caa123.org.cn/auction/toRevert.do?receiptid=24" \t "http://www.caa123.org.cn/main/_blank" </w:instrTex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separate"/>
      </w:r>
      <w:r>
        <w:rPr>
          <w:rStyle w:val="10"/>
          <w:rFonts w:hint="default" w:ascii="Helvetica" w:hAnsi="Helvetica" w:eastAsia="Helvetica" w:cs="Helvetica"/>
          <w:i w:val="0"/>
          <w:caps w:val="0"/>
          <w:color w:val="E53333"/>
          <w:spacing w:val="0"/>
          <w:sz w:val="36"/>
          <w:szCs w:val="36"/>
          <w:u w:val="single"/>
          <w:bdr w:val="none" w:color="auto" w:sz="0" w:space="0"/>
        </w:rPr>
        <w:t>参加技巧培训点击报名</w: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w: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spacing w:val="0"/>
          <w:kern w:val="0"/>
          <w:sz w:val="21"/>
          <w:szCs w:val="21"/>
          <w:u w:val="none"/>
          <w:bdr w:val="none" w:color="auto" w:sz="0" w:space="0"/>
          <w:lang w:val="en-US" w:eastAsia="zh-CN" w:bidi="ar"/>
        </w:rPr>
        <w:instrText xml:space="preserve"> HYPERLINK "http://www.caa123.org.cn/auction/toRevert.do?receiptid=25" \t "http://www.caa123.org.cn/main/_blank" </w:instrTex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separate"/>
      </w:r>
      <w:r>
        <w:rPr>
          <w:rStyle w:val="10"/>
          <w:rFonts w:hint="default" w:ascii="Helvetica" w:hAnsi="Helvetica" w:eastAsia="Helvetica" w:cs="Helvetica"/>
          <w:i w:val="0"/>
          <w:caps w:val="0"/>
          <w:color w:val="E53333"/>
          <w:spacing w:val="0"/>
          <w:sz w:val="36"/>
          <w:szCs w:val="36"/>
          <w:u w:val="single"/>
          <w:bdr w:val="none" w:color="auto" w:sz="0" w:space="0"/>
        </w:rPr>
        <w:t>不参加技巧培训点击报名</w: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（二）本培训为整体培训项目，不接受分科培训要求。主持技巧培训请本人携带身份证报到。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（三）认真填写报名信息，确认电子邮箱、手机号等填写无误。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（四）联系方式：010-64931499转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9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荣博   8001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9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季乐   8003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9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缴费完成后，实名添加微信号：ZPXZJB20，并备注考前培训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90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righ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righ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中拍协教育科技（北京）有限责任公司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righ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2020年7月6日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关于举办第三期司法辅助工作线上学习交流的通知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各省（区、市）拍卖协会、各拍卖企业：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为帮助企业学习了解最高院关于司法辅助工作的相关精神、掌握司辅工作流程、进一步推动拍卖企业入围司辅工作，中国拍卖行业协会和中拍平台网络科技股份有限公司决定在前两期司辅研讨的基础上，继续举办司法辅助工作线上学习交流活动。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602"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shd w:val="clear" w:fill="FFFFFF"/>
          <w:lang w:val="en-US" w:eastAsia="zh-CN" w:bidi="ar"/>
        </w:rPr>
        <w:t>一、参会人员及内容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（一）参会人员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拍卖企业负责人、网络技术负责人、司法辅助服务工作人员等。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（二）研讨内容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1、解读最高院关于网络司法拍卖的文件与规定；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2、解析司法辅助事务全流程工作及注意事项；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3、指导企业进行前期材料准备；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4、探讨“中拍▪拍辅”等相关司法辅助工作工具应用；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5、视频连线答疑、交流各地司法辅助工作情况。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2"/>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shd w:val="clear" w:fill="FFFFFF"/>
          <w:lang w:val="en-US" w:eastAsia="zh-CN" w:bidi="ar"/>
        </w:rPr>
        <w:t>二、时间安排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录播视频学习时间：7月14日至8月31日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在线答疑交流时间：8月15日（周六）晚7:30-9:30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2"/>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shd w:val="clear" w:fill="FFFFFF"/>
          <w:lang w:val="en-US" w:eastAsia="zh-CN" w:bidi="ar"/>
        </w:rPr>
        <w:t>三、其它事项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（一）参加人员请先在中拍网首页登陆，再</w:t>
      </w:r>
      <w:r>
        <w:rPr>
          <w:rFonts w:hint="default" w:ascii="Helvetica" w:hAnsi="Helvetica" w:eastAsia="Helvetica" w:cs="Helvetica"/>
          <w:i w:val="0"/>
          <w:caps w:val="0"/>
          <w:color w:val="333333"/>
          <w:spacing w:val="0"/>
          <w:sz w:val="21"/>
          <w:szCs w:val="21"/>
          <w:u w:val="none"/>
          <w:bdr w:val="none" w:color="auto" w:sz="0" w:space="0"/>
        </w:rPr>
        <w:t> </w:t>
      </w:r>
      <w:r>
        <w:rPr>
          <w:rStyle w:val="8"/>
          <w:rFonts w:hint="default" w:ascii="Helvetica" w:hAnsi="Helvetica" w:eastAsia="Helvetica" w:cs="Helvetica"/>
          <w:i w:val="0"/>
          <w:caps w:val="0"/>
          <w:spacing w:val="0"/>
          <w:sz w:val="36"/>
          <w:szCs w:val="36"/>
          <w:u w:val="single"/>
          <w:bdr w:val="none" w:color="auto" w:sz="0" w:space="0"/>
        </w:rPr>
        <w:fldChar w:fldCharType="begin"/>
      </w:r>
      <w:r>
        <w:rPr>
          <w:rStyle w:val="8"/>
          <w:rFonts w:hint="default" w:ascii="Helvetica" w:hAnsi="Helvetica" w:eastAsia="Helvetica" w:cs="Helvetica"/>
          <w:i w:val="0"/>
          <w:caps w:val="0"/>
          <w:spacing w:val="0"/>
          <w:sz w:val="36"/>
          <w:szCs w:val="36"/>
          <w:u w:val="single"/>
          <w:bdr w:val="none" w:color="auto" w:sz="0" w:space="0"/>
        </w:rPr>
        <w:instrText xml:space="preserve"> HYPERLINK "http://www.caa123.org.cn/auction/toRevert.do?receiptid=26" \t "http://www.caa123.org.cn/main/_blank" </w:instrText>
      </w:r>
      <w:r>
        <w:rPr>
          <w:rStyle w:val="8"/>
          <w:rFonts w:hint="default" w:ascii="Helvetica" w:hAnsi="Helvetica" w:eastAsia="Helvetica" w:cs="Helvetica"/>
          <w:i w:val="0"/>
          <w:caps w:val="0"/>
          <w:spacing w:val="0"/>
          <w:sz w:val="36"/>
          <w:szCs w:val="36"/>
          <w:u w:val="single"/>
          <w:bdr w:val="none" w:color="auto" w:sz="0" w:space="0"/>
        </w:rPr>
        <w:fldChar w:fldCharType="separate"/>
      </w:r>
      <w:r>
        <w:rPr>
          <w:rStyle w:val="10"/>
          <w:rFonts w:hint="default" w:ascii="Helvetica" w:hAnsi="Helvetica" w:eastAsia="Helvetica" w:cs="Helvetica"/>
          <w:i w:val="0"/>
          <w:caps w:val="0"/>
          <w:color w:val="E53333"/>
          <w:spacing w:val="0"/>
          <w:sz w:val="36"/>
          <w:szCs w:val="36"/>
          <w:u w:val="single"/>
          <w:bdr w:val="none" w:color="auto" w:sz="0" w:space="0"/>
        </w:rPr>
        <w:t>点此报名</w:t>
      </w:r>
      <w:r>
        <w:rPr>
          <w:rStyle w:val="8"/>
          <w:rFonts w:hint="default" w:ascii="Helvetica" w:hAnsi="Helvetica" w:eastAsia="Helvetica" w:cs="Helvetica"/>
          <w:i w:val="0"/>
          <w:caps w:val="0"/>
          <w:spacing w:val="0"/>
          <w:sz w:val="36"/>
          <w:szCs w:val="36"/>
          <w:u w:val="singl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（二）参加人员费用</w:t>
      </w:r>
      <w:r>
        <w:rPr>
          <w:rFonts w:hint="default" w:ascii="Helvetica" w:hAnsi="Helvetica" w:eastAsia="Helvetica" w:cs="Helvetica"/>
          <w:b/>
          <w:i w:val="0"/>
          <w:caps w:val="0"/>
          <w:color w:val="333333"/>
          <w:spacing w:val="0"/>
          <w:sz w:val="27"/>
          <w:szCs w:val="27"/>
          <w:u w:val="none"/>
          <w:bdr w:val="none" w:color="auto" w:sz="0" w:space="0"/>
        </w:rPr>
        <w:t>1600元/人</w:t>
      </w:r>
      <w:r>
        <w:rPr>
          <w:rFonts w:hint="default" w:ascii="Helvetica" w:hAnsi="Helvetica" w:eastAsia="Helvetica" w:cs="Helvetica"/>
          <w:i w:val="0"/>
          <w:caps w:val="0"/>
          <w:color w:val="333333"/>
          <w:spacing w:val="0"/>
          <w:sz w:val="27"/>
          <w:szCs w:val="27"/>
          <w:u w:val="none"/>
          <w:bdr w:val="none" w:color="auto" w:sz="0" w:space="0"/>
        </w:rPr>
        <w:t>，缴费后即可在“协会工作—远程教育—大众教育课堂”中学习。拍卖师参加本次学习可折算2020年继续教育40学时。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（三）联系方式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缴费后，加微信号：ZPXZJB20，以建群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联系人：荣博  01064931499转8001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80"/>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sz w:val="27"/>
          <w:szCs w:val="27"/>
          <w:u w:val="none"/>
          <w:bdr w:val="none" w:color="auto" w:sz="0" w:space="0"/>
        </w:rPr>
        <w:t>季乐  01064931499转8003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80"/>
        <w:rPr>
          <w:rFonts w:hint="default" w:ascii="Helvetica" w:hAnsi="Helvetica" w:eastAsia="Helvetica" w:cs="Helvetica"/>
          <w:i w:val="0"/>
          <w:caps w:val="0"/>
          <w:color w:val="333333"/>
          <w:spacing w:val="0"/>
          <w:sz w:val="21"/>
          <w:szCs w:val="21"/>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80"/>
        <w:jc w:val="right"/>
        <w:rPr>
          <w:rFonts w:hint="default" w:ascii="Helvetica" w:hAnsi="Helvetica" w:eastAsia="Helvetica" w:cs="Helvetica"/>
          <w:i w:val="0"/>
          <w:caps w:val="0"/>
          <w:color w:val="333333"/>
          <w:spacing w:val="0"/>
          <w:sz w:val="27"/>
          <w:szCs w:val="27"/>
          <w:u w:val="none"/>
          <w:bdr w:val="none" w:color="auto" w:sz="0" w:space="0"/>
        </w:rPr>
      </w:pPr>
      <w:r>
        <w:rPr>
          <w:rFonts w:hint="default" w:ascii="Helvetica" w:hAnsi="Helvetica" w:eastAsia="Helvetica" w:cs="Helvetica"/>
          <w:i w:val="0"/>
          <w:caps w:val="0"/>
          <w:color w:val="333333"/>
          <w:spacing w:val="0"/>
          <w:sz w:val="27"/>
          <w:szCs w:val="27"/>
          <w:u w:val="none"/>
          <w:bdr w:val="none" w:color="auto" w:sz="0" w:space="0"/>
        </w:rPr>
        <w:t>2020年7月6日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关于印发中国拍卖行业协会五届九次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常务理事会会议纪要的通知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各省（区、市）拍卖行业协会、各拍卖企业：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中国拍卖行业协会五届九次常务理事会于2020年7月28日以网络视频形式召开，会议审议并通过了《中国拍卖行业协会五届九次常务理事会工作报告》、《关于筹备换届会员代表大会有关工作的建议》、《关于对中国拍卖行业协会拍卖基金管理委员会、监事会名单进行备案的报告》、《关于新会员备案和对部分企业做退会处理的建议》等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现将会议纪要和《工作报告》、《拍卖基金管理委员会、监事会成员名单》印发给你们，请认真学习，按照本次会议精神积极做好2020年下半年的各项工作。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500" w:right="0" w:hanging="15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1500" w:right="0" w:hanging="15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1.《中国拍卖行业协会五届九次常务理事会会议纪要》；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2.《中国拍卖行业协会五届九次常务理事会工作报告》；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50" w:right="0" w:hanging="45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3.《中国拍卖行业协会拍卖基金第一届管理委员会、监事会成员名单》。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80"/>
        <w:jc w:val="left"/>
        <w:rPr>
          <w:rFonts w:hint="default" w:ascii="Helvetica" w:hAnsi="Helvetica" w:eastAsia="Helvetica" w:cs="Helvetica"/>
          <w:i w:val="0"/>
          <w:caps w:val="0"/>
          <w:color w:val="333333"/>
          <w:spacing w:val="0"/>
          <w:sz w:val="27"/>
          <w:szCs w:val="27"/>
          <w:u w:val="none"/>
          <w:bdr w:val="none" w:color="auto" w:sz="0" w:space="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关于印发2020年全国拍卖行业协会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b/>
          <w:i w:val="0"/>
          <w:caps w:val="0"/>
          <w:color w:val="333333"/>
          <w:spacing w:val="0"/>
          <w:kern w:val="0"/>
          <w:sz w:val="36"/>
          <w:szCs w:val="36"/>
          <w:u w:val="none"/>
          <w:bdr w:val="none" w:color="auto" w:sz="0" w:space="0"/>
          <w:lang w:val="en-US" w:eastAsia="zh-CN" w:bidi="ar"/>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工作会会议纪要的通知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各省（区、市）拍卖行业协会、各有关拍卖企业：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shd w:val="clear" w:fill="FFFFFF"/>
          <w:lang w:val="en-US" w:eastAsia="zh-CN" w:bidi="ar"/>
        </w:rPr>
        <w:t>7月30日下午，中国拍卖行业协会以网络视频形式召开2020年全国拍卖行业协会工作会。中国拍卖行业协会会长黄小坚、秘书长李卫东，以及全国31个省区市拍卖行业协会负责人和部分企业代表100余人参加了会议。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现将会议纪要印发给你们，请认真学习，以会议精神为指导，扎实做好疫情防控和复工复产的有关工作。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附件：《2020年全国拍卖行业协会工作会会议纪要》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2020年8月5日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i w:val="0"/>
          <w:caps w:val="0"/>
          <w:color w:val="333333"/>
          <w:spacing w:val="0"/>
          <w:sz w:val="21"/>
          <w:szCs w:val="21"/>
          <w:u w:val="none"/>
        </w:rPr>
      </w:pPr>
      <w:r>
        <w:rPr>
          <w:rFonts w:ascii="Helvetica" w:hAnsi="Helvetica" w:eastAsia="Helvetica" w:cs="Helvetica"/>
          <w:b/>
          <w:i w:val="0"/>
          <w:caps w:val="0"/>
          <w:color w:val="333333"/>
          <w:spacing w:val="0"/>
          <w:kern w:val="0"/>
          <w:sz w:val="36"/>
          <w:szCs w:val="36"/>
          <w:u w:val="none"/>
          <w:bdr w:val="none" w:color="auto" w:sz="0" w:space="0"/>
          <w:lang w:val="en-US" w:eastAsia="zh-CN" w:bidi="ar"/>
        </w:rPr>
        <w:t>关于开展</w:t>
      </w: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2020年“全国拍卖咨询服务周”活动的通知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i w:val="0"/>
          <w:caps w:val="0"/>
          <w:color w:val="333333"/>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各省（区、市）拍卖行业协会、各有关企业：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自2011年首届“全国拍卖咨询服务周”举办以来，一年一度的“全国拍卖咨询服务周”已成为讲好拍卖故事、传播拍卖价值的重要行业宣传品牌。为全面学习、贯彻落实党的十九大精神和习近平新时代中国特色社会主义思想，继续发挥好拍卖咨询服务周的品牌宣传作用，持续推动拍卖行业转型升级，经研究决定于今年9月至12月继续在全国范围内组织开展“2020年全国拍卖咨询服务周”活动。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lang w:val="en-US" w:eastAsia="zh-CN" w:bidi="ar"/>
        </w:rPr>
        <w:t>一、活动主题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今年全国拍卖咨询服务周的主题是“决胜小康，拍卖同行”。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lang w:val="en-US" w:eastAsia="zh-CN" w:bidi="ar"/>
        </w:rPr>
        <w:t>二、活动形式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活动期间，中国拍卖行业协会将会同各省市拍卖行业协会及拍卖平台、拍卖企业围绕宣传主题，组织开展“云”上为主的相关宣传活动，着力宣传拍卖新政策、新知识、新模式，提升全社会对拍卖的认知水平。各省市协会要围绕宣传重点，组织会员单位、从业人员积极参与、开展业内外喜闻乐见的宣传形式，广泛传播拍卖在“抗疫防疫”、“脱贫攻坚”、“六保六稳”、“拉动内需”、“资源配置”等助力决胜小康方面的作用。具体活动可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1．培育工匠精神，开展“拍卖师主持技巧比赛”、“拍卖师执槌20年”等交流活动；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2.传播法制精神，开展“《民法典》中的拍卖”等法律知识学习培训活动；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3.倡导创新精神，开展线上“拍卖季”等集中性主题拍卖，创新运用新媒体等新渠道新模式做好“拍品推介”及企业和行业宣传；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4.发扬公益精神，开展“抗疫防疫”、“精准扶贫”等慈善公益活动。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lang w:val="en-US" w:eastAsia="zh-CN" w:bidi="ar"/>
        </w:rPr>
        <w:t>三、活动要求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各地可结合自身实际，发挥各自优势，围绕主题在9-12月内选择一周集中开展具有地方特色的主题宣传活动。在严格按照党中央、国务院疫情防控工作统一部署和相关要求，做好常态化疫情防控的同时，以“线上为主”，开展好本地区、本企业的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请各地方协会因地制宜，制定本省开展本次活动的具体实施方案并在9月20日前报中拍协理论宣传部，同步及时报送活动进展及宣传材料。中拍协将视情况将有关宣传材料在门户网站、官方微信等新媒体进行集中展示，组织有关媒体进行宣传报道。活动结束后，各省市协会及牵头单位要对活动情况进行总结，并于12月20日前将书面总结材料提交至中拍协理论宣传部。活动中表现突出的省市协会将推荐入选“省市协会优秀服务奖”的评选；表现突出的企业将获得“2020年全国拍卖咨询服务周优秀组织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详细情况，请咨询中拍协理论宣传部。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联 系 人：王 苒   欧树英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联系电话：010—64936477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邮    箱：</w: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spacing w:val="0"/>
          <w:kern w:val="0"/>
          <w:sz w:val="21"/>
          <w:szCs w:val="21"/>
          <w:u w:val="none"/>
          <w:bdr w:val="none" w:color="auto" w:sz="0" w:space="0"/>
          <w:lang w:val="en-US" w:eastAsia="zh-CN" w:bidi="ar"/>
        </w:rPr>
        <w:instrText xml:space="preserve"> HYPERLINK "mailto:wangran@caa123.org.cn" </w:instrTex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separate"/>
      </w:r>
      <w:r>
        <w:rPr>
          <w:rStyle w:val="10"/>
          <w:rFonts w:hint="default" w:ascii="Helvetica" w:hAnsi="Helvetica" w:eastAsia="Helvetica" w:cs="Helvetica"/>
          <w:i w:val="0"/>
          <w:caps w:val="0"/>
          <w:spacing w:val="0"/>
          <w:sz w:val="27"/>
          <w:szCs w:val="27"/>
          <w:u w:val="none"/>
          <w:bdr w:val="none" w:color="auto" w:sz="0" w:space="0"/>
        </w:rPr>
        <w:t>wangran@caa123.org.cn</w:t>
      </w:r>
      <w:r>
        <w:rPr>
          <w:rFonts w:hint="default" w:ascii="Helvetica" w:hAnsi="Helvetica" w:eastAsia="Helvetica" w:cs="Helvetica"/>
          <w:i w:val="0"/>
          <w:caps w:val="0"/>
          <w:spacing w:val="0"/>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default" w:ascii="Helvetica" w:hAnsi="Helvetica" w:eastAsia="Helvetica" w:cs="Helvetica"/>
          <w:i w:val="0"/>
          <w:caps w:val="0"/>
          <w:color w:val="333333"/>
          <w:spacing w:val="0"/>
          <w:sz w:val="21"/>
          <w:szCs w:val="21"/>
          <w:u w:val="none"/>
        </w:rPr>
      </w:pPr>
      <w:r>
        <w:rPr>
          <w:rFonts w:ascii="font-size:18px;" w:hAnsi="font-size:18px;" w:eastAsia="font-size:18px;" w:cs="font-size:18px;"/>
          <w:i w:val="0"/>
          <w:caps w:val="0"/>
          <w:color w:val="333333"/>
          <w:spacing w:val="0"/>
          <w:kern w:val="0"/>
          <w:sz w:val="21"/>
          <w:szCs w:val="21"/>
          <w:u w:val="none"/>
          <w:bdr w:val="none" w:color="auto" w:sz="0" w:space="0"/>
          <w:lang w:val="en-US" w:eastAsia="zh-CN" w:bidi="ar"/>
        </w:rPr>
        <w:t>           </w:t>
      </w: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ouyang@caa123.org.cn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27"/>
          <w:szCs w:val="27"/>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Helvetica" w:hAnsi="Helvetica" w:eastAsia="Helvetica" w:cs="Helvetica"/>
          <w:i w:val="0"/>
          <w:caps w:val="0"/>
          <w:color w:val="333333"/>
          <w:spacing w:val="0"/>
          <w:sz w:val="27"/>
          <w:szCs w:val="27"/>
          <w:u w:val="none"/>
        </w:rPr>
      </w:pPr>
      <w:r>
        <w:rPr>
          <w:rFonts w:hint="default" w:ascii="font-size:18px;" w:hAnsi="font-size:18px;" w:eastAsia="font-size:18px;" w:cs="font-size:18px;"/>
          <w:i w:val="0"/>
          <w:caps w:val="0"/>
          <w:color w:val="333333"/>
          <w:spacing w:val="0"/>
          <w:kern w:val="0"/>
          <w:sz w:val="27"/>
          <w:szCs w:val="27"/>
          <w:u w:val="none"/>
          <w:bdr w:val="none" w:color="auto" w:sz="0" w:space="0"/>
          <w:lang w:val="en-US" w:eastAsia="zh-CN" w:bidi="ar"/>
        </w:rPr>
        <w:t>二〇二〇年八月二十一日</w:t>
      </w:r>
    </w:p>
    <w:p>
      <w:pPr>
        <w:pStyle w:val="2"/>
        <w:keepNext w:val="0"/>
        <w:keepLines w:val="0"/>
        <w:widowControl/>
        <w:suppressLineNumbers w:val="0"/>
        <w:pBdr>
          <w:top w:val="none" w:color="auto" w:sz="0" w:space="0"/>
          <w:left w:val="none" w:color="auto" w:sz="0" w:space="0"/>
          <w:bottom w:val="single" w:color="D8D8D8" w:sz="12" w:space="15"/>
          <w:right w:val="none" w:color="auto" w:sz="0" w:space="0"/>
        </w:pBdr>
        <w:spacing w:before="0" w:beforeAutospacing="0" w:after="0" w:afterAutospacing="0"/>
        <w:ind w:left="0" w:right="0" w:firstLine="0"/>
        <w:jc w:val="center"/>
        <w:rPr>
          <w:rFonts w:ascii="Helvetica" w:hAnsi="Helvetica" w:eastAsia="Helvetica" w:cs="Helvetica"/>
          <w:i w:val="0"/>
          <w:caps w:val="0"/>
          <w:color w:val="333333"/>
          <w:spacing w:val="0"/>
          <w:sz w:val="33"/>
          <w:szCs w:val="33"/>
          <w:u w:val="none"/>
        </w:rPr>
      </w:pPr>
      <w:r>
        <w:rPr>
          <w:rFonts w:hint="default" w:ascii="Helvetica" w:hAnsi="Helvetica" w:eastAsia="Helvetica" w:cs="Helvetica"/>
          <w:i w:val="0"/>
          <w:caps w:val="0"/>
          <w:color w:val="333333"/>
          <w:spacing w:val="0"/>
          <w:sz w:val="33"/>
          <w:szCs w:val="33"/>
          <w:u w:val="none"/>
          <w:bdr w:val="none" w:color="auto" w:sz="0" w:space="0"/>
        </w:rPr>
        <w:t>2020年全国协会工作会线上召开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7月30日下午，中国拍卖行业协会以网络视频形式召开2020年全国协会工作会。中拍协会长黄小坚、秘书长李卫东，全国31个省市拍卖行业协会负责人及部分企业代表100余人参加会议。会议由李卫东秘书长主持。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聚焦重点问题，稳步推进14项年度行业重点工作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中拍协副秘书长欧树英首先做了《2020年中拍协年度重点工作及推进情况》的汇报。围绕上半年以来一手抓疫情防控，一手抓复工复产的工作主线，中拍协及时调整工作重点和工作模式，确定疫情防控、行业发展规划、行业转型升级、特殊资产拍卖、公共资源交易、信息化建设、文物艺术品拍卖税收等14项重点工作。由协会会长、副会长、秘书长牵头，组成9个专项工作组，集合中拍协、地方拍协和行业内骨干企业的力量，制定工作计划，分工抓紧落实，扎实开展工作。会上还介绍了上半年以来各地协会协调当地高院制定网络司法拍卖辅助工作管理办法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学习交流，探讨行业“六稳六保”工作任务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会上，湖北省拍卖行业协会、上海市拍卖行业协会、吉林省拍卖行业协会、河北省拍卖行业协会，以及中拍平台代表先后发言，围绕协会工作和网络拍卖应用推进等问题进行了经验分享。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湖北省拍卖行业协会会长石品才在发言中提出2020年湖北拍卖业疫后重启，努力实现行业“六稳六保”的工作情况，即稳信心、稳阵脚、稳行业、稳队伍、稳土地拍卖、稳艺术品、机动车、租赁权、农村土地流转等开拓业务；保拍卖金字招牌、保行业队伍稳定、保以土地拍卖为主拍卖业务、保协会服务工作的连续性、保目标任务完成，保近几年协会工作所取得的丰硕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上海市拍卖行业协会会长冯明强以《经受考验，推动发展》为题做了发言。面对下半年的繁重任务，上海拍卖业也提出了行业的“六稳六保”：稳信心，保协会工作科学高效；稳队伍，保公拍平台再上新台阶；稳管理，保全年目标任务完成；稳服务，保司法拍卖基本盘；稳业务，保公共资源拍卖再拓展；稳市场，保艺术品拍卖、机动车、物资拍卖再发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河北省拍卖行业协会会长李兰欣介绍了河北协会在政策协调、为会员业务创造条件、提高企业素质、完善自律制度、发挥理事会成员和企业作用等方面的经验。河北协会把理事会办成研究问题、解决问题的机构，形成了多研究政策、多反映情况、多提供信息，多动脑筋，多出主意、多想办法、多提思路、多抓协调、多找出路、多树形象，共同营造和改善营商环境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主动引导，扩大企业网络拍卖利用率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吉林省拍卖行业协会秘书长李秀娟则重点介绍了未雨绸缪协会引导企业在中拍平台开展网络拍卖活动的工作情况。自2019年6月起吉林拍协采取“走出去”的方式到各地区上门开展网络拍卖培训，当年实现入住中拍平台的企业数、开展网拍活动场次、发布互联网媒体公告数量明显增长，不仅带动企业转变观念，实实在在尝到了网络拍卖的“甜头”，同时也有效增强了协会的向心力和凝聚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会上，中拍平台常务副总刘燕还介绍了疫情以来，中拍平台提高响应，为拍卖企业开展网拍做好各项工作的情况。上半年以来，中拍平台新增用户、拍卖会场次、上拍标的、成交总额均有较大增长。在中拍平台努力下，除山东、河北、浙江、广东等传统业务大省外，贵州、新疆、西藏等边疆省市的网拍成交额实现了快速增长，全行业网络拍卖覆盖率有了质的变化和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上下齐心，改革创新，做好行业组织者引导者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r>
        <w:rPr>
          <w:rFonts w:hint="default" w:ascii="Helvetica" w:hAnsi="Helvetica" w:eastAsia="Helvetica" w:cs="Helvetica"/>
          <w:i w:val="0"/>
          <w:caps w:val="0"/>
          <w:color w:val="333333"/>
          <w:spacing w:val="0"/>
          <w:kern w:val="0"/>
          <w:sz w:val="27"/>
          <w:szCs w:val="27"/>
          <w:u w:val="none"/>
          <w:bdr w:val="none" w:color="auto" w:sz="0" w:space="0"/>
          <w:lang w:val="en-US" w:eastAsia="zh-CN" w:bidi="ar"/>
        </w:rPr>
        <w:t>    黄小坚会长在会议结束时做总结讲话。面对下半年业务重启和行业转型发展的行业工作任务，他要求，第一，各级协会要上下同心，分工合作，布大局和抓落实相结合，配合做好政策协调；第二，中拍协要服务好地方协会，帮助解决地方协会的实际问题；第三，协会间要加强沟通，紧密互动，确保中拍协及时掌握地方协会的情况；第四，各级协会要加强自身建设，推动企业做大做强；第五，要创新服务模式，提升服务水平，不断吸引新会员，壮大行业队伍优化成员构成；第六，各级协会要重视人才培养工作，担负起人才培养重任；第七，要加强与政府、协会间的沟通合作，寻找跨界机遇，引领拍卖市场拓展。他强调，非常时期，行业协会应当充分认识自身作为行业组织者和领头羊的行业使命，他勉励各省市协会负责人，在当下的行业变革时期，要团结一致，坚定信心，克服困难，为引领行业转型升级和持续发展做出更大的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default" w:ascii="Helvetica" w:hAnsi="Helvetica" w:eastAsia="Helvetica" w:cs="Helvetica"/>
          <w:i w:val="0"/>
          <w:caps w:val="0"/>
          <w:color w:val="333333"/>
          <w:spacing w:val="0"/>
          <w:kern w:val="0"/>
          <w:sz w:val="27"/>
          <w:szCs w:val="27"/>
          <w:u w:val="none"/>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single" w:color="D8D8D8" w:sz="12" w:space="15"/>
          <w:right w:val="none" w:color="auto" w:sz="0" w:space="0"/>
        </w:pBdr>
        <w:spacing w:before="0" w:beforeAutospacing="0" w:after="0" w:afterAutospacing="0"/>
        <w:ind w:left="0" w:right="0" w:firstLine="0"/>
        <w:jc w:val="center"/>
        <w:rPr>
          <w:rFonts w:ascii="Helvetica" w:hAnsi="Helvetica" w:eastAsia="Helvetica" w:cs="Helvetica"/>
          <w:i w:val="0"/>
          <w:caps w:val="0"/>
          <w:color w:val="333333"/>
          <w:spacing w:val="0"/>
          <w:sz w:val="33"/>
          <w:szCs w:val="33"/>
          <w:u w:val="none"/>
        </w:rPr>
      </w:pPr>
      <w:r>
        <w:rPr>
          <w:rFonts w:hint="eastAsia" w:asciiTheme="minorEastAsia" w:hAnsiTheme="minorEastAsia" w:eastAsiaTheme="minorEastAsia" w:cstheme="minorEastAsia"/>
          <w:sz w:val="28"/>
          <w:szCs w:val="28"/>
        </w:rPr>
        <w:t> </w:t>
      </w:r>
      <w:r>
        <w:rPr>
          <w:rFonts w:hint="default" w:ascii="Helvetica" w:hAnsi="Helvetica" w:eastAsia="Helvetica" w:cs="Helvetica"/>
          <w:i w:val="0"/>
          <w:caps w:val="0"/>
          <w:color w:val="333333"/>
          <w:spacing w:val="0"/>
          <w:sz w:val="33"/>
          <w:szCs w:val="33"/>
          <w:u w:val="none"/>
          <w:bdr w:val="none" w:color="auto" w:sz="0" w:space="0"/>
        </w:rPr>
        <w:t>中国拍卖行业协会与中国拆船协会探讨行业合作</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月7日上午，中拍协黄小坚会长、李卫东秘书长一行应邀参加“中国拆船协会行业发展座谈会”。交通运输部海事局董乐义处长、中国企业国有产权交易机构协会秘书长夏忠仁以及中国融通资产管理集团有限公司有关方面负责人陈新义等出席。来自广东、江苏、浙江、福建等地的中国拆船协会理事单位的代表参加了座谈研讨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拍卖行业协会会长黄小坚在会上重点介绍了拍卖交易方式的优势和拍卖行业近年来的发展状况。他表示，拍卖行业愿意与拆船、产权、融通等行业和企业集团合作，为各领域资源有效配置提供更好的服务，促进多方合作共赢。</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会上重点研讨了规范废船拍卖与国有产权交易的相关规定，并就废旧船舶在国有产权交易和拍卖交易环节存在的问题和合作方式进行了探讨。</w:t>
      </w:r>
    </w:p>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拍卖业2020年上半年经营情况分析</w:t>
      </w:r>
    </w:p>
    <w:p>
      <w:pPr>
        <w:pStyle w:val="11"/>
        <w:numPr>
          <w:ilvl w:val="0"/>
          <w:numId w:val="1"/>
        </w:numPr>
        <w:spacing w:beforeLines="150" w:line="480" w:lineRule="auto"/>
        <w:ind w:firstLineChars="0"/>
        <w:rPr>
          <w:rFonts w:ascii="黑体" w:hAnsi="黑体" w:eastAsia="黑体"/>
          <w:sz w:val="32"/>
          <w:szCs w:val="32"/>
        </w:rPr>
      </w:pPr>
      <w:r>
        <w:rPr>
          <w:rFonts w:hint="eastAsia" w:ascii="黑体" w:hAnsi="黑体" w:eastAsia="黑体"/>
          <w:sz w:val="32"/>
          <w:szCs w:val="32"/>
        </w:rPr>
        <w:t>行业基本情况</w:t>
      </w:r>
    </w:p>
    <w:p>
      <w:pPr>
        <w:pStyle w:val="4"/>
        <w:spacing w:line="420" w:lineRule="atLeast"/>
        <w:ind w:firstLine="560" w:firstLineChars="200"/>
        <w:contextualSpacing/>
        <w:rPr>
          <w:rFonts w:hint="eastAsia" w:ascii="仿宋" w:hAnsi="仿宋" w:eastAsia="仿宋"/>
          <w:sz w:val="28"/>
          <w:szCs w:val="28"/>
        </w:rPr>
      </w:pPr>
      <w:r>
        <w:rPr>
          <w:rFonts w:hint="eastAsia" w:ascii="仿宋" w:hAnsi="仿宋" w:eastAsia="仿宋"/>
          <w:sz w:val="28"/>
          <w:szCs w:val="28"/>
        </w:rPr>
        <w:t>截至2020年6月底，全国31个省（区、市）及新疆生产建设兵团共有拍卖企业8300家，比上年同期增加685家；拍卖分支机构260家，与去年同期持平；注册执业的拍卖师 11680 人，拍卖行业从业人数（职工总数）约63000人。</w:t>
      </w:r>
    </w:p>
    <w:p>
      <w:pPr>
        <w:pStyle w:val="4"/>
        <w:spacing w:line="420" w:lineRule="atLeast"/>
        <w:ind w:firstLine="560" w:firstLineChars="200"/>
        <w:contextualSpacing/>
        <w:rPr>
          <w:rFonts w:hint="eastAsia" w:ascii="仿宋" w:hAnsi="仿宋" w:eastAsia="仿宋"/>
          <w:sz w:val="28"/>
          <w:szCs w:val="28"/>
        </w:rPr>
      </w:pPr>
      <w:r>
        <w:rPr>
          <w:rFonts w:hint="eastAsia" w:ascii="仿宋" w:hAnsi="仿宋" w:eastAsia="仿宋"/>
          <w:sz w:val="28"/>
          <w:szCs w:val="28"/>
        </w:rPr>
        <w:t>据商务部“全国拍卖统一业务平台”统计，上半年1-6月份，拍卖总成交额2812.06亿元，同比下降2.22%（见图1）。上半年，主要受到疫情的影响全国各地拍卖活动不同程度出现业务延迟或取消。其中，一季度，成交额879.86亿元，同比下降22.86%，环比上年四季度降幅66.6%；二季度得益于疫情有效控制和企业复工复拍节奏加快，成交额出现补涨，共计1932.19亿元，同比增长 11.34%，环比第一季度增幅高达 119.6%。</w:t>
      </w:r>
    </w:p>
    <w:p>
      <w:pPr>
        <w:pStyle w:val="4"/>
        <w:spacing w:line="420" w:lineRule="atLeast"/>
        <w:contextualSpacing/>
        <w:jc w:val="center"/>
        <w:rPr>
          <w:rFonts w:ascii="仿宋" w:hAnsi="仿宋" w:eastAsia="仿宋"/>
          <w:sz w:val="28"/>
          <w:szCs w:val="28"/>
        </w:rPr>
      </w:pPr>
      <w:r>
        <w:rPr>
          <w:rFonts w:hint="eastAsia" w:ascii="黑体" w:hAnsi="黑体" w:eastAsia="黑体"/>
        </w:rPr>
        <w:t>图1    2015-2020年 上半年拍卖成交额    （单位：亿元）</w:t>
      </w:r>
    </w:p>
    <w:p>
      <w:pPr>
        <w:pStyle w:val="11"/>
        <w:ind w:firstLine="0" w:firstLineChars="0"/>
        <w:rPr>
          <w:rFonts w:ascii="宋体" w:hAnsi="宋体"/>
          <w:b/>
          <w:sz w:val="28"/>
          <w:szCs w:val="28"/>
        </w:rPr>
      </w:pPr>
      <w:r>
        <w:rPr>
          <w:rFonts w:ascii="宋体" w:hAnsi="宋体"/>
          <w:b/>
          <w:sz w:val="28"/>
          <w:szCs w:val="28"/>
        </w:rPr>
        <w:drawing>
          <wp:inline distT="0" distB="0" distL="0" distR="0">
            <wp:extent cx="4905375" cy="2762250"/>
            <wp:effectExtent l="4445" t="4445" r="5080"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11"/>
        <w:spacing w:beforeLines="100" w:afterLines="50" w:line="240" w:lineRule="atLeast"/>
        <w:ind w:firstLine="560"/>
        <w:contextualSpacing/>
        <w:rPr>
          <w:rFonts w:hint="eastAsia" w:ascii="仿宋" w:hAnsi="仿宋" w:eastAsia="仿宋" w:cs="宋体"/>
          <w:kern w:val="0"/>
          <w:sz w:val="28"/>
          <w:szCs w:val="28"/>
        </w:rPr>
      </w:pPr>
      <w:r>
        <w:rPr>
          <w:rFonts w:hint="eastAsia" w:ascii="仿宋" w:hAnsi="仿宋" w:eastAsia="仿宋" w:cs="宋体"/>
          <w:kern w:val="0"/>
          <w:sz w:val="28"/>
          <w:szCs w:val="28"/>
        </w:rPr>
        <w:t>总的看来，全行业在疫情特殊时期积极调整，主动应对，基本稳住了行业经营的基本面。一季度过后拍卖业务重启节奏逐月加快，自 3 月份存量拍卖业务开始逐步释放后，业务降幅逐月收窄，到二季度末，行业总成交额同比增幅已由2月份的-49%逐月收窄并转正为6月的 25.93%。同时，自2月份以来，经过4个多月的调整，有成交业务的企业数量已上升占到去年同期的95.6%，复工复产效果明显。预计再经过1个季度左右的时间，行业经营将有望恢复至去年同期水平。此外，上半年在疫情影响下，多数拍卖企业开始投入更多精力开展网络拍卖活动，带动 1-6 月拍卖场次不降反增，成交41072场，同比去年增长 35.11%。</w:t>
      </w:r>
    </w:p>
    <w:p>
      <w:pPr>
        <w:pStyle w:val="11"/>
        <w:spacing w:beforeLines="100" w:afterLines="50"/>
        <w:ind w:firstLine="640"/>
        <w:rPr>
          <w:rFonts w:ascii="黑体" w:hAnsi="黑体" w:eastAsia="黑体"/>
          <w:sz w:val="32"/>
          <w:szCs w:val="32"/>
        </w:rPr>
      </w:pPr>
      <w:r>
        <w:rPr>
          <w:rFonts w:hint="eastAsia" w:ascii="黑体" w:hAnsi="黑体" w:eastAsia="黑体"/>
          <w:sz w:val="32"/>
          <w:szCs w:val="32"/>
        </w:rPr>
        <w:t>二、主要标的成交情况</w:t>
      </w:r>
    </w:p>
    <w:p>
      <w:pPr>
        <w:pStyle w:val="11"/>
        <w:spacing w:beforeLines="100" w:afterLines="50" w:line="240" w:lineRule="atLeast"/>
        <w:ind w:firstLine="560"/>
        <w:contextualSpacing/>
        <w:rPr>
          <w:rFonts w:hint="eastAsia" w:ascii="仿宋" w:hAnsi="仿宋" w:eastAsia="仿宋"/>
          <w:sz w:val="28"/>
          <w:szCs w:val="28"/>
        </w:rPr>
      </w:pPr>
      <w:r>
        <w:rPr>
          <w:rFonts w:hint="eastAsia" w:ascii="仿宋" w:hAnsi="仿宋" w:eastAsia="仿宋"/>
          <w:sz w:val="28"/>
          <w:szCs w:val="28"/>
        </w:rPr>
        <w:t>上半年，在全国土地供应规模放缓的政策背景下，土地使用权拍卖业务增长态势同步放缓，成交1780.84亿元，同比增长0.79%；机动车拍卖成交80.03亿元，同比增长27.42%，延续了上年同期的高速增长趋势；无形资产成交122.16亿元，同比增长9.69%；其他类拍卖业务成交额198.90亿元，同比增长17.19% 。</w:t>
      </w:r>
    </w:p>
    <w:p>
      <w:pPr>
        <w:pStyle w:val="11"/>
        <w:spacing w:beforeLines="100" w:afterLines="50" w:line="240" w:lineRule="atLeast"/>
        <w:ind w:firstLine="560"/>
        <w:contextualSpacing/>
        <w:rPr>
          <w:rFonts w:hint="eastAsia" w:ascii="仿宋" w:hAnsi="仿宋" w:eastAsia="仿宋"/>
          <w:sz w:val="28"/>
          <w:szCs w:val="28"/>
        </w:rPr>
      </w:pPr>
      <w:r>
        <w:rPr>
          <w:rFonts w:hint="eastAsia" w:ascii="仿宋" w:hAnsi="仿宋" w:eastAsia="仿宋"/>
          <w:sz w:val="28"/>
          <w:szCs w:val="28"/>
        </w:rPr>
        <w:t>相对于上述各板块，以下房地产、农副产品、股权债权和文物艺术品等拍卖业务板块，在上半年均有不同程度下降。房地产拍卖成交427.75亿元，同比下降7.87%；农副产品拍卖成交12.11亿元，因疫情导致的消费不振和物流不畅等影响，上半年同比下降55.48%；股权债权拍卖成交183.38亿元，同比下降22.19；文物艺术品拍卖业务受疫情影响较大，上半年成交额仅为6.88亿元，同比下降81.99%，但考虑企业填报延迟及结算周期滞后等因素分析，文物艺术品拍卖的实际成交金额及佣金收入应可超过此网报数字。（见表1）</w:t>
      </w:r>
    </w:p>
    <w:p>
      <w:pPr>
        <w:pStyle w:val="11"/>
        <w:ind w:left="210" w:leftChars="100" w:firstLine="0" w:firstLineChars="0"/>
        <w:jc w:val="center"/>
        <w:rPr>
          <w:rFonts w:ascii="黑体" w:hAnsi="黑体" w:eastAsia="黑体"/>
          <w:sz w:val="24"/>
          <w:szCs w:val="24"/>
        </w:rPr>
      </w:pPr>
    </w:p>
    <w:p>
      <w:pPr>
        <w:pStyle w:val="11"/>
        <w:ind w:firstLine="1416" w:firstLineChars="590"/>
        <w:rPr>
          <w:rFonts w:ascii="黑体" w:hAnsi="黑体" w:eastAsia="黑体"/>
          <w:bCs/>
          <w:sz w:val="24"/>
          <w:szCs w:val="24"/>
        </w:rPr>
      </w:pPr>
      <w:r>
        <w:rPr>
          <w:rFonts w:hint="eastAsia" w:ascii="黑体" w:hAnsi="黑体" w:eastAsia="黑体"/>
          <w:sz w:val="24"/>
          <w:szCs w:val="24"/>
        </w:rPr>
        <w:t>表1</w:t>
      </w:r>
      <w:r>
        <w:rPr>
          <w:rFonts w:hint="eastAsia" w:ascii="黑体" w:hAnsi="黑体" w:eastAsia="黑体"/>
          <w:b/>
          <w:sz w:val="24"/>
          <w:szCs w:val="24"/>
        </w:rPr>
        <w:t xml:space="preserve">     </w:t>
      </w:r>
      <w:r>
        <w:rPr>
          <w:rStyle w:val="8"/>
          <w:rFonts w:hint="eastAsia" w:ascii="黑体" w:hAnsi="黑体" w:eastAsia="黑体"/>
          <w:b w:val="0"/>
          <w:sz w:val="24"/>
          <w:szCs w:val="24"/>
        </w:rPr>
        <w:t>各标的成交额增长对比表      （单位：万元）</w:t>
      </w:r>
    </w:p>
    <w:tbl>
      <w:tblPr>
        <w:tblStyle w:val="6"/>
        <w:tblW w:w="5000" w:type="pct"/>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093"/>
        <w:gridCol w:w="1984"/>
        <w:gridCol w:w="2127"/>
        <w:gridCol w:w="2318"/>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95" w:hRule="atLeast"/>
          <w:jc w:val="center"/>
        </w:trPr>
        <w:tc>
          <w:tcPr>
            <w:tcW w:w="1228"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各拍卖标的</w:t>
            </w:r>
          </w:p>
        </w:tc>
        <w:tc>
          <w:tcPr>
            <w:tcW w:w="1164"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2020年上半年</w:t>
            </w:r>
          </w:p>
        </w:tc>
        <w:tc>
          <w:tcPr>
            <w:tcW w:w="1248"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2019年上半年</w:t>
            </w:r>
          </w:p>
        </w:tc>
        <w:tc>
          <w:tcPr>
            <w:tcW w:w="1360"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同比增长率（%）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47" w:hRule="atLeast"/>
          <w:jc w:val="center"/>
        </w:trPr>
        <w:tc>
          <w:tcPr>
            <w:tcW w:w="1228"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房地产拍卖</w:t>
            </w:r>
          </w:p>
        </w:tc>
        <w:tc>
          <w:tcPr>
            <w:tcW w:w="1164"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4277516.449</w:t>
            </w:r>
          </w:p>
        </w:tc>
        <w:tc>
          <w:tcPr>
            <w:tcW w:w="1248"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4643119.007</w:t>
            </w:r>
          </w:p>
        </w:tc>
        <w:tc>
          <w:tcPr>
            <w:tcW w:w="1360"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-7.8741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28" w:hRule="atLeast"/>
          <w:jc w:val="center"/>
        </w:trPr>
        <w:tc>
          <w:tcPr>
            <w:tcW w:w="1228"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土地使用权拍卖</w:t>
            </w:r>
          </w:p>
        </w:tc>
        <w:tc>
          <w:tcPr>
            <w:tcW w:w="1164"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17808427.47</w:t>
            </w:r>
          </w:p>
        </w:tc>
        <w:tc>
          <w:tcPr>
            <w:tcW w:w="1248"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17667322.26</w:t>
            </w:r>
          </w:p>
        </w:tc>
        <w:tc>
          <w:tcPr>
            <w:tcW w:w="1360"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0.7987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48" w:hRule="atLeast"/>
          <w:jc w:val="center"/>
        </w:trPr>
        <w:tc>
          <w:tcPr>
            <w:tcW w:w="1228"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机动车拍卖</w:t>
            </w:r>
          </w:p>
        </w:tc>
        <w:tc>
          <w:tcPr>
            <w:tcW w:w="1164"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800327.3303</w:t>
            </w:r>
          </w:p>
        </w:tc>
        <w:tc>
          <w:tcPr>
            <w:tcW w:w="1248"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628100.5353</w:t>
            </w:r>
          </w:p>
        </w:tc>
        <w:tc>
          <w:tcPr>
            <w:tcW w:w="1360"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27.4203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57" w:hRule="atLeast"/>
          <w:jc w:val="center"/>
        </w:trPr>
        <w:tc>
          <w:tcPr>
            <w:tcW w:w="1228"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农副产品拍卖</w:t>
            </w:r>
          </w:p>
        </w:tc>
        <w:tc>
          <w:tcPr>
            <w:tcW w:w="1164"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121100.1251</w:t>
            </w:r>
          </w:p>
        </w:tc>
        <w:tc>
          <w:tcPr>
            <w:tcW w:w="1248"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272012.1658</w:t>
            </w:r>
          </w:p>
        </w:tc>
        <w:tc>
          <w:tcPr>
            <w:tcW w:w="1360"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-55.4799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32" w:hRule="atLeast"/>
          <w:jc w:val="center"/>
        </w:trPr>
        <w:tc>
          <w:tcPr>
            <w:tcW w:w="1228"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股权、债权拍卖</w:t>
            </w:r>
          </w:p>
        </w:tc>
        <w:tc>
          <w:tcPr>
            <w:tcW w:w="1164"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1833827.053</w:t>
            </w:r>
          </w:p>
        </w:tc>
        <w:tc>
          <w:tcPr>
            <w:tcW w:w="1248"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2356660.844</w:t>
            </w:r>
          </w:p>
        </w:tc>
        <w:tc>
          <w:tcPr>
            <w:tcW w:w="1360"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-22.1854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88" w:hRule="atLeast"/>
          <w:jc w:val="center"/>
        </w:trPr>
        <w:tc>
          <w:tcPr>
            <w:tcW w:w="1228"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无形资产拍卖</w:t>
            </w:r>
          </w:p>
        </w:tc>
        <w:tc>
          <w:tcPr>
            <w:tcW w:w="1164"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1221575.213</w:t>
            </w:r>
          </w:p>
        </w:tc>
        <w:tc>
          <w:tcPr>
            <w:tcW w:w="1248"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1113563.304</w:t>
            </w:r>
          </w:p>
        </w:tc>
        <w:tc>
          <w:tcPr>
            <w:tcW w:w="1360"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9.6997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96" w:hRule="atLeast"/>
          <w:jc w:val="center"/>
        </w:trPr>
        <w:tc>
          <w:tcPr>
            <w:tcW w:w="1228"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文物艺术品拍卖</w:t>
            </w:r>
          </w:p>
        </w:tc>
        <w:tc>
          <w:tcPr>
            <w:tcW w:w="1164"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68779.8278</w:t>
            </w:r>
          </w:p>
        </w:tc>
        <w:tc>
          <w:tcPr>
            <w:tcW w:w="1248"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382057.9845</w:t>
            </w:r>
          </w:p>
        </w:tc>
        <w:tc>
          <w:tcPr>
            <w:tcW w:w="1360"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-81.9975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92" w:hRule="atLeast"/>
          <w:jc w:val="center"/>
        </w:trPr>
        <w:tc>
          <w:tcPr>
            <w:tcW w:w="1228"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其他拍卖</w:t>
            </w:r>
          </w:p>
        </w:tc>
        <w:tc>
          <w:tcPr>
            <w:tcW w:w="1164"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1989004.295</w:t>
            </w:r>
          </w:p>
        </w:tc>
        <w:tc>
          <w:tcPr>
            <w:tcW w:w="1248"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1697197.092</w:t>
            </w:r>
          </w:p>
        </w:tc>
        <w:tc>
          <w:tcPr>
            <w:tcW w:w="1360" w:type="pct"/>
            <w:shd w:val="clear" w:color="auto" w:fill="D6E6F4" w:themeFill="accent1" w:themeFillTint="3F"/>
            <w:vAlign w:val="center"/>
          </w:tcPr>
          <w:p>
            <w:pPr>
              <w:jc w:val="center"/>
              <w:rPr>
                <w:rFonts w:ascii="宋体" w:hAnsi="宋体" w:cs="宋体"/>
                <w:color w:val="000000"/>
                <w:sz w:val="22"/>
              </w:rPr>
            </w:pPr>
            <w:r>
              <w:rPr>
                <w:rFonts w:hint="eastAsia"/>
                <w:color w:val="000000"/>
                <w:sz w:val="22"/>
              </w:rPr>
              <w:t>17.1935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95" w:hRule="atLeast"/>
          <w:jc w:val="center"/>
        </w:trPr>
        <w:tc>
          <w:tcPr>
            <w:tcW w:w="1228" w:type="pct"/>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成交额合计</w:t>
            </w:r>
          </w:p>
        </w:tc>
        <w:tc>
          <w:tcPr>
            <w:tcW w:w="1164"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28120557.76</w:t>
            </w:r>
          </w:p>
        </w:tc>
        <w:tc>
          <w:tcPr>
            <w:tcW w:w="1248"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28760033.2</w:t>
            </w:r>
          </w:p>
        </w:tc>
        <w:tc>
          <w:tcPr>
            <w:tcW w:w="1360"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-2.2235</w:t>
            </w:r>
          </w:p>
        </w:tc>
      </w:tr>
    </w:tbl>
    <w:p>
      <w:pPr>
        <w:pStyle w:val="11"/>
        <w:ind w:firstLine="0" w:firstLineChars="0"/>
        <w:rPr>
          <w:rFonts w:ascii="宋体" w:hAnsi="宋体"/>
          <w:szCs w:val="21"/>
        </w:rPr>
      </w:pPr>
    </w:p>
    <w:p>
      <w:pPr>
        <w:pStyle w:val="11"/>
        <w:ind w:firstLine="640"/>
        <w:rPr>
          <w:rFonts w:ascii="黑体" w:hAnsi="黑体" w:eastAsia="黑体"/>
          <w:sz w:val="32"/>
          <w:szCs w:val="32"/>
        </w:rPr>
      </w:pPr>
      <w:r>
        <w:rPr>
          <w:rFonts w:hint="eastAsia" w:ascii="黑体" w:hAnsi="黑体" w:eastAsia="黑体"/>
          <w:sz w:val="32"/>
          <w:szCs w:val="32"/>
        </w:rPr>
        <w:t>三、主要委托对象成交情况</w:t>
      </w:r>
    </w:p>
    <w:p>
      <w:pPr>
        <w:ind w:firstLine="560" w:firstLineChars="200"/>
        <w:rPr>
          <w:rFonts w:hint="eastAsia" w:ascii="仿宋" w:hAnsi="仿宋" w:eastAsia="仿宋"/>
          <w:sz w:val="28"/>
          <w:szCs w:val="28"/>
        </w:rPr>
      </w:pPr>
      <w:r>
        <w:rPr>
          <w:rFonts w:hint="eastAsia" w:ascii="仿宋" w:hAnsi="仿宋" w:eastAsia="仿宋" w:cs="宋体"/>
          <w:kern w:val="0"/>
          <w:sz w:val="28"/>
          <w:szCs w:val="28"/>
        </w:rPr>
        <w:t>上半年，拍卖业务委托结构相对保持稳定，机构委托业务和破产</w:t>
      </w:r>
      <w:r>
        <w:rPr>
          <w:rFonts w:hint="eastAsia" w:ascii="仿宋" w:hAnsi="仿宋" w:eastAsia="仿宋"/>
          <w:sz w:val="28"/>
          <w:szCs w:val="28"/>
        </w:rPr>
        <w:t>清算组</w:t>
      </w:r>
      <w:r>
        <w:rPr>
          <w:rFonts w:hint="eastAsia" w:ascii="仿宋" w:hAnsi="仿宋" w:eastAsia="仿宋" w:cs="宋体"/>
          <w:kern w:val="0"/>
          <w:sz w:val="28"/>
          <w:szCs w:val="28"/>
        </w:rPr>
        <w:t>委托业务均出现了超过 20%的增长</w:t>
      </w:r>
      <w:r>
        <w:rPr>
          <w:rFonts w:hint="eastAsia" w:ascii="仿宋" w:hAnsi="仿宋" w:eastAsia="仿宋"/>
          <w:sz w:val="28"/>
          <w:szCs w:val="28"/>
        </w:rPr>
        <w:t>，其他如法院、政府部门、金融机构和个人委托业务均有所下降。</w:t>
      </w:r>
    </w:p>
    <w:p>
      <w:pPr>
        <w:ind w:firstLine="560" w:firstLineChars="200"/>
        <w:rPr>
          <w:rFonts w:hint="eastAsia" w:ascii="仿宋" w:hAnsi="仿宋" w:eastAsia="仿宋"/>
          <w:sz w:val="28"/>
          <w:szCs w:val="28"/>
        </w:rPr>
      </w:pPr>
      <w:r>
        <w:rPr>
          <w:rFonts w:hint="eastAsia" w:ascii="仿宋" w:hAnsi="仿宋" w:eastAsia="仿宋"/>
          <w:sz w:val="28"/>
          <w:szCs w:val="28"/>
        </w:rPr>
        <w:t>具体看，破产清算组委托拍卖成交28.52亿元，同比增长21.6%；各类机构委托拍卖成交470.35亿元，同比增长4.84%；法院委托拍卖成交160.23亿元，同比下降6.21%；政府部门委托拍卖成交1886.24亿元，同比下降1.06%；金融机构委托拍卖成交231.21亿元，同比下降5.73%；个人委托拍卖成交35.49亿元，同比下降56.33%。（见表2）</w:t>
      </w:r>
    </w:p>
    <w:p>
      <w:pPr>
        <w:jc w:val="center"/>
        <w:rPr>
          <w:rFonts w:ascii="黑体" w:hAnsi="黑体" w:eastAsia="黑体"/>
          <w:bCs/>
          <w:sz w:val="24"/>
          <w:szCs w:val="24"/>
        </w:rPr>
      </w:pPr>
      <w:r>
        <w:rPr>
          <w:rStyle w:val="8"/>
          <w:rFonts w:hint="eastAsia" w:ascii="黑体" w:hAnsi="黑体" w:eastAsia="黑体"/>
          <w:b w:val="0"/>
          <w:sz w:val="24"/>
          <w:szCs w:val="24"/>
        </w:rPr>
        <w:t>表2   各委托成交额增长对比表     （单位：万元）</w:t>
      </w:r>
      <w:bookmarkStart w:id="0" w:name="OLE_LINK4"/>
      <w:bookmarkEnd w:id="0"/>
      <w:bookmarkStart w:id="1" w:name="OLE_LINK3"/>
      <w:bookmarkEnd w:id="1"/>
    </w:p>
    <w:tbl>
      <w:tblPr>
        <w:tblStyle w:val="6"/>
        <w:tblW w:w="7953" w:type="dxa"/>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2518"/>
        <w:gridCol w:w="1985"/>
        <w:gridCol w:w="1842"/>
        <w:gridCol w:w="142"/>
        <w:gridCol w:w="1466"/>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95" w:hRule="atLeast"/>
          <w:jc w:val="center"/>
        </w:trPr>
        <w:tc>
          <w:tcPr>
            <w:tcW w:w="251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ascii="宋体" w:hAnsi="宋体" w:cs="宋体"/>
                <w:b w:val="0"/>
                <w:bCs w:val="0"/>
                <w:i w:val="0"/>
                <w:iCs w:val="0"/>
                <w:color w:val="000000"/>
                <w:kern w:val="0"/>
                <w:sz w:val="20"/>
                <w:szCs w:val="20"/>
              </w:rPr>
            </w:pPr>
            <w:r>
              <w:rPr>
                <w:rFonts w:hint="eastAsia" w:ascii="宋体" w:hAnsi="宋体" w:cs="宋体"/>
                <w:b/>
                <w:bCs/>
                <w:i w:val="0"/>
                <w:iCs w:val="0"/>
                <w:color w:val="000000"/>
                <w:kern w:val="0"/>
                <w:sz w:val="20"/>
                <w:szCs w:val="20"/>
              </w:rPr>
              <w:t>各委托人</w:t>
            </w:r>
          </w:p>
        </w:tc>
        <w:tc>
          <w:tcPr>
            <w:tcW w:w="1985"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ascii="宋体" w:hAnsi="宋体" w:cs="宋体"/>
                <w:b w:val="0"/>
                <w:bCs w:val="0"/>
                <w:i w:val="0"/>
                <w:iCs w:val="0"/>
                <w:color w:val="000000"/>
                <w:kern w:val="0"/>
                <w:sz w:val="20"/>
                <w:szCs w:val="20"/>
              </w:rPr>
            </w:pPr>
            <w:r>
              <w:rPr>
                <w:rFonts w:hint="eastAsia" w:ascii="宋体" w:hAnsi="宋体" w:cs="宋体"/>
                <w:b/>
                <w:bCs/>
                <w:i w:val="0"/>
                <w:iCs w:val="0"/>
                <w:color w:val="000000"/>
                <w:kern w:val="0"/>
                <w:sz w:val="20"/>
                <w:szCs w:val="20"/>
              </w:rPr>
              <w:t>2020年上半年</w:t>
            </w:r>
          </w:p>
        </w:tc>
        <w:tc>
          <w:tcPr>
            <w:tcW w:w="1842"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ascii="宋体" w:hAnsi="宋体" w:cs="宋体"/>
                <w:b w:val="0"/>
                <w:bCs w:val="0"/>
                <w:i w:val="0"/>
                <w:iCs w:val="0"/>
                <w:color w:val="000000"/>
                <w:kern w:val="0"/>
                <w:sz w:val="20"/>
                <w:szCs w:val="20"/>
              </w:rPr>
            </w:pPr>
            <w:r>
              <w:rPr>
                <w:rFonts w:hint="eastAsia" w:ascii="宋体" w:hAnsi="宋体" w:cs="宋体"/>
                <w:b/>
                <w:bCs/>
                <w:i w:val="0"/>
                <w:iCs w:val="0"/>
                <w:color w:val="000000"/>
                <w:kern w:val="0"/>
                <w:sz w:val="20"/>
                <w:szCs w:val="20"/>
              </w:rPr>
              <w:t>2019年上半年</w:t>
            </w:r>
          </w:p>
        </w:tc>
        <w:tc>
          <w:tcPr>
            <w:tcW w:w="1608" w:type="dxa"/>
            <w:gridSpan w:val="2"/>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ascii="宋体" w:hAnsi="宋体" w:cs="宋体"/>
                <w:b w:val="0"/>
                <w:bCs w:val="0"/>
                <w:i w:val="0"/>
                <w:iCs w:val="0"/>
                <w:color w:val="000000"/>
                <w:kern w:val="0"/>
                <w:sz w:val="20"/>
                <w:szCs w:val="20"/>
              </w:rPr>
            </w:pPr>
            <w:r>
              <w:rPr>
                <w:rFonts w:hint="eastAsia" w:ascii="宋体" w:hAnsi="宋体" w:cs="宋体"/>
                <w:b/>
                <w:bCs/>
                <w:i w:val="0"/>
                <w:iCs w:val="0"/>
                <w:color w:val="000000"/>
                <w:kern w:val="0"/>
                <w:sz w:val="20"/>
                <w:szCs w:val="20"/>
              </w:rPr>
              <w:t>同比增长率（%）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605" w:hRule="atLeast"/>
          <w:jc w:val="center"/>
        </w:trPr>
        <w:tc>
          <w:tcPr>
            <w:tcW w:w="2518"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法院委托拍卖</w:t>
            </w:r>
          </w:p>
        </w:tc>
        <w:tc>
          <w:tcPr>
            <w:tcW w:w="198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1602268</w:t>
            </w:r>
          </w:p>
        </w:tc>
        <w:tc>
          <w:tcPr>
            <w:tcW w:w="1984" w:type="dxa"/>
            <w:gridSpan w:val="2"/>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1708308</w:t>
            </w:r>
          </w:p>
        </w:tc>
        <w:tc>
          <w:tcPr>
            <w:tcW w:w="1466"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-6.21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59" w:hRule="atLeast"/>
          <w:jc w:val="center"/>
        </w:trPr>
        <w:tc>
          <w:tcPr>
            <w:tcW w:w="2518" w:type="dxa"/>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政府部门委托拍卖</w:t>
            </w:r>
          </w:p>
        </w:tc>
        <w:tc>
          <w:tcPr>
            <w:tcW w:w="1985"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18862491</w:t>
            </w:r>
          </w:p>
        </w:tc>
        <w:tc>
          <w:tcPr>
            <w:tcW w:w="1984" w:type="dxa"/>
            <w:gridSpan w:val="2"/>
            <w:shd w:val="clear" w:color="auto" w:fill="D6E6F4" w:themeFill="accent1" w:themeFillTint="3F"/>
            <w:vAlign w:val="center"/>
          </w:tcPr>
          <w:p>
            <w:pPr>
              <w:jc w:val="center"/>
              <w:rPr>
                <w:rFonts w:ascii="宋体" w:hAnsi="宋体" w:cs="宋体"/>
                <w:color w:val="000000"/>
                <w:sz w:val="22"/>
              </w:rPr>
            </w:pPr>
            <w:r>
              <w:rPr>
                <w:rFonts w:hint="eastAsia"/>
                <w:color w:val="000000"/>
                <w:sz w:val="22"/>
              </w:rPr>
              <w:t>19065214</w:t>
            </w:r>
          </w:p>
        </w:tc>
        <w:tc>
          <w:tcPr>
            <w:tcW w:w="1466"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-1.06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26" w:hRule="atLeast"/>
          <w:jc w:val="center"/>
        </w:trPr>
        <w:tc>
          <w:tcPr>
            <w:tcW w:w="2518"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金融机构委托拍卖</w:t>
            </w:r>
          </w:p>
        </w:tc>
        <w:tc>
          <w:tcPr>
            <w:tcW w:w="198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2312106</w:t>
            </w:r>
          </w:p>
        </w:tc>
        <w:tc>
          <w:tcPr>
            <w:tcW w:w="1984" w:type="dxa"/>
            <w:gridSpan w:val="2"/>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2452753</w:t>
            </w:r>
          </w:p>
        </w:tc>
        <w:tc>
          <w:tcPr>
            <w:tcW w:w="1466"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-5.73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59" w:hRule="atLeast"/>
          <w:jc w:val="center"/>
        </w:trPr>
        <w:tc>
          <w:tcPr>
            <w:tcW w:w="2518" w:type="dxa"/>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破产清算组委托拍卖</w:t>
            </w:r>
          </w:p>
        </w:tc>
        <w:tc>
          <w:tcPr>
            <w:tcW w:w="1985"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285240.3</w:t>
            </w:r>
          </w:p>
        </w:tc>
        <w:tc>
          <w:tcPr>
            <w:tcW w:w="1984" w:type="dxa"/>
            <w:gridSpan w:val="2"/>
            <w:shd w:val="clear" w:color="auto" w:fill="D6E6F4" w:themeFill="accent1" w:themeFillTint="3F"/>
            <w:vAlign w:val="center"/>
          </w:tcPr>
          <w:p>
            <w:pPr>
              <w:jc w:val="center"/>
              <w:rPr>
                <w:rFonts w:ascii="宋体" w:hAnsi="宋体" w:cs="宋体"/>
                <w:color w:val="000000"/>
                <w:sz w:val="22"/>
              </w:rPr>
            </w:pPr>
            <w:r>
              <w:rPr>
                <w:rFonts w:hint="eastAsia"/>
                <w:color w:val="000000"/>
                <w:sz w:val="22"/>
              </w:rPr>
              <w:t>234578.2</w:t>
            </w:r>
          </w:p>
        </w:tc>
        <w:tc>
          <w:tcPr>
            <w:tcW w:w="1466"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21.6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97" w:hRule="atLeast"/>
          <w:jc w:val="center"/>
        </w:trPr>
        <w:tc>
          <w:tcPr>
            <w:tcW w:w="2518"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其他机构委托拍卖</w:t>
            </w:r>
          </w:p>
        </w:tc>
        <w:tc>
          <w:tcPr>
            <w:tcW w:w="198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4703478</w:t>
            </w:r>
          </w:p>
        </w:tc>
        <w:tc>
          <w:tcPr>
            <w:tcW w:w="1984" w:type="dxa"/>
            <w:gridSpan w:val="2"/>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4486348</w:t>
            </w:r>
          </w:p>
        </w:tc>
        <w:tc>
          <w:tcPr>
            <w:tcW w:w="1466"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4.84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48" w:hRule="atLeast"/>
          <w:jc w:val="center"/>
        </w:trPr>
        <w:tc>
          <w:tcPr>
            <w:tcW w:w="2518" w:type="dxa"/>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000000"/>
                <w:sz w:val="22"/>
              </w:rPr>
            </w:pPr>
            <w:r>
              <w:rPr>
                <w:rFonts w:hint="eastAsia"/>
                <w:b w:val="0"/>
                <w:bCs w:val="0"/>
                <w:i w:val="0"/>
                <w:iCs w:val="0"/>
                <w:color w:val="000000"/>
                <w:sz w:val="22"/>
              </w:rPr>
              <w:t>个人委托拍卖</w:t>
            </w:r>
          </w:p>
        </w:tc>
        <w:tc>
          <w:tcPr>
            <w:tcW w:w="1985"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354974.9</w:t>
            </w:r>
          </w:p>
        </w:tc>
        <w:tc>
          <w:tcPr>
            <w:tcW w:w="1984" w:type="dxa"/>
            <w:gridSpan w:val="2"/>
            <w:shd w:val="clear" w:color="auto" w:fill="D6E6F4" w:themeFill="accent1" w:themeFillTint="3F"/>
            <w:vAlign w:val="center"/>
          </w:tcPr>
          <w:p>
            <w:pPr>
              <w:jc w:val="center"/>
              <w:rPr>
                <w:rFonts w:ascii="宋体" w:hAnsi="宋体" w:cs="宋体"/>
                <w:color w:val="000000"/>
                <w:sz w:val="22"/>
              </w:rPr>
            </w:pPr>
            <w:r>
              <w:rPr>
                <w:rFonts w:hint="eastAsia"/>
                <w:color w:val="000000"/>
                <w:sz w:val="22"/>
              </w:rPr>
              <w:t>812831.2</w:t>
            </w:r>
          </w:p>
        </w:tc>
        <w:tc>
          <w:tcPr>
            <w:tcW w:w="1466" w:type="dxa"/>
            <w:shd w:val="clear" w:color="auto" w:fill="D6E6F4" w:themeFill="accent1" w:themeFillTint="3F"/>
            <w:vAlign w:val="center"/>
          </w:tcPr>
          <w:p>
            <w:pPr>
              <w:jc w:val="center"/>
              <w:rPr>
                <w:rFonts w:ascii="宋体" w:hAnsi="宋体" w:cs="宋体"/>
                <w:color w:val="000000"/>
                <w:sz w:val="22"/>
              </w:rPr>
            </w:pPr>
            <w:r>
              <w:rPr>
                <w:rFonts w:hint="eastAsia"/>
                <w:color w:val="000000"/>
                <w:sz w:val="22"/>
              </w:rPr>
              <w:t>-56.33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544" w:hRule="atLeast"/>
          <w:jc w:val="center"/>
        </w:trPr>
        <w:tc>
          <w:tcPr>
            <w:tcW w:w="2518"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5B9BD5" w:themeFill="accent1"/>
            <w:vAlign w:val="center"/>
          </w:tcPr>
          <w:p>
            <w:pPr>
              <w:widowControl/>
              <w:jc w:val="center"/>
              <w:rPr>
                <w:rFonts w:ascii="宋体" w:hAnsi="宋体" w:cs="宋体"/>
                <w:b w:val="0"/>
                <w:bCs w:val="0"/>
                <w:i w:val="0"/>
                <w:iCs w:val="0"/>
                <w:color w:val="000000"/>
                <w:kern w:val="0"/>
                <w:sz w:val="20"/>
                <w:szCs w:val="20"/>
              </w:rPr>
            </w:pPr>
            <w:r>
              <w:rPr>
                <w:rFonts w:hint="eastAsia" w:ascii="宋体" w:hAnsi="宋体" w:cs="宋体"/>
                <w:b/>
                <w:bCs/>
                <w:i w:val="0"/>
                <w:iCs w:val="0"/>
                <w:color w:val="000000"/>
                <w:kern w:val="0"/>
                <w:sz w:val="20"/>
                <w:szCs w:val="20"/>
              </w:rPr>
              <w:t>合计</w:t>
            </w:r>
          </w:p>
        </w:tc>
        <w:tc>
          <w:tcPr>
            <w:tcW w:w="198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28120557.76</w:t>
            </w:r>
          </w:p>
        </w:tc>
        <w:tc>
          <w:tcPr>
            <w:tcW w:w="1984" w:type="dxa"/>
            <w:gridSpan w:val="2"/>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28760033.2</w:t>
            </w:r>
          </w:p>
        </w:tc>
        <w:tc>
          <w:tcPr>
            <w:tcW w:w="1466"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000000"/>
                <w:sz w:val="22"/>
              </w:rPr>
            </w:pPr>
            <w:r>
              <w:rPr>
                <w:rFonts w:hint="eastAsia"/>
                <w:color w:val="000000"/>
                <w:sz w:val="22"/>
              </w:rPr>
              <w:t>-2.2235</w:t>
            </w:r>
          </w:p>
        </w:tc>
      </w:tr>
    </w:tbl>
    <w:p>
      <w:pPr>
        <w:ind w:firstLine="420" w:firstLineChars="200"/>
        <w:rPr>
          <w:rFonts w:hint="eastAsia" w:ascii="仿宋" w:hAnsi="仿宋" w:eastAsia="仿宋"/>
          <w:szCs w:val="21"/>
        </w:rPr>
      </w:pPr>
    </w:p>
    <w:p>
      <w:pPr>
        <w:ind w:firstLine="560" w:firstLineChars="200"/>
        <w:rPr>
          <w:rFonts w:ascii="仿宋" w:hAnsi="仿宋" w:eastAsia="仿宋"/>
          <w:sz w:val="28"/>
          <w:szCs w:val="28"/>
        </w:rPr>
      </w:pPr>
      <w:r>
        <w:rPr>
          <w:rFonts w:hint="eastAsia" w:ascii="仿宋" w:hAnsi="仿宋" w:eastAsia="仿宋"/>
          <w:sz w:val="28"/>
          <w:szCs w:val="28"/>
        </w:rPr>
        <w:t>总的来看，上半年破产清算组委托和机构委托类业务增长的相对值较大，绝对值较小，因而对行业整体成交额影响不大；金融机构委托拍卖整体减少与经济增速放缓、疫情下不良资产处置活动减弱等因素正相关；法院的司法委托拍卖继续出现较大降幅在预判之中；政府部门委托虽有下降，但半年来平均降幅并不明显，尤其在二季度出现补涨后，基本已扭转下降趋势。另外，法院和政府部门委托拍卖成交额合计达到2046.47亿元，占上半年总成交额比重的72.8%，与去年上半年占比基本持平，也说明上半年行业经营主体结构基本稳定。</w:t>
      </w:r>
    </w:p>
    <w:p>
      <w:pPr>
        <w:pStyle w:val="11"/>
        <w:ind w:firstLine="640"/>
        <w:rPr>
          <w:rFonts w:ascii="黑体" w:hAnsi="黑体" w:eastAsia="黑体"/>
          <w:sz w:val="32"/>
          <w:szCs w:val="32"/>
        </w:rPr>
      </w:pPr>
      <w:r>
        <w:rPr>
          <w:rFonts w:hint="eastAsia" w:ascii="黑体" w:hAnsi="黑体" w:eastAsia="黑体"/>
          <w:sz w:val="32"/>
          <w:szCs w:val="32"/>
        </w:rPr>
        <w:t>四、各省市成交情况</w:t>
      </w:r>
    </w:p>
    <w:p>
      <w:pPr>
        <w:pStyle w:val="11"/>
        <w:ind w:left="105" w:leftChars="50" w:firstLine="557" w:firstLineChars="199"/>
        <w:rPr>
          <w:rFonts w:ascii="仿宋" w:hAnsi="仿宋" w:eastAsia="仿宋"/>
          <w:sz w:val="28"/>
          <w:szCs w:val="28"/>
        </w:rPr>
      </w:pPr>
      <w:r>
        <w:rPr>
          <w:rFonts w:hint="eastAsia" w:ascii="仿宋" w:hAnsi="仿宋" w:eastAsia="仿宋"/>
          <w:sz w:val="28"/>
          <w:szCs w:val="28"/>
        </w:rPr>
        <w:t>上半年，全国31个省（区、市）及新疆生产建设兵团成交额超过200亿元的仍然是河北省、福建省、四川省和安徽省等四省。其中，河北省上半年成交额598.99亿元，土地使用权拍卖占全省成交业务总额的88.42%。上述四省拍卖成交共计1627.35亿元，占比全国总成交额的57.87%，较去年同期提高10个百分点。</w:t>
      </w:r>
    </w:p>
    <w:p>
      <w:pPr>
        <w:pStyle w:val="11"/>
        <w:ind w:left="105" w:leftChars="50" w:firstLine="557" w:firstLineChars="199"/>
        <w:rPr>
          <w:rFonts w:ascii="仿宋" w:hAnsi="仿宋" w:eastAsia="仿宋"/>
          <w:sz w:val="28"/>
          <w:szCs w:val="28"/>
        </w:rPr>
      </w:pPr>
      <w:r>
        <w:rPr>
          <w:rFonts w:hint="eastAsia" w:ascii="仿宋" w:hAnsi="仿宋" w:eastAsia="仿宋"/>
          <w:sz w:val="28"/>
          <w:szCs w:val="28"/>
        </w:rPr>
        <w:t>此外，成交额在100亿元至200亿元之间的有上海市、浙江省、山东省和湖北省；成交额在50亿元至100亿元之间的分别是甘肃省、云南省和江苏省；成交额在20亿元至50亿元的是湖南省、广东省、广西自治区、内蒙古、河南省、北京市、陕西省、海南省、辽宁省、新疆区自治区、重庆市和江西省；成交额在5亿元至20亿元的是天津市、贵州省、西藏自治区、山西省和黑龙江省；成交额在1亿元至10亿元的是吉林省、宁夏自治区、青海省和新疆生产建设兵团。各省、区、市拍卖成交情况详见表3。</w:t>
      </w:r>
    </w:p>
    <w:p>
      <w:pPr>
        <w:pStyle w:val="11"/>
        <w:ind w:firstLine="0" w:firstLineChars="0"/>
        <w:jc w:val="center"/>
        <w:rPr>
          <w:rStyle w:val="8"/>
          <w:rFonts w:ascii="黑体" w:hAnsi="黑体" w:eastAsia="黑体"/>
          <w:b w:val="0"/>
          <w:sz w:val="24"/>
          <w:szCs w:val="24"/>
        </w:rPr>
      </w:pPr>
    </w:p>
    <w:p>
      <w:pPr>
        <w:pStyle w:val="11"/>
        <w:ind w:firstLine="0" w:firstLineChars="0"/>
        <w:jc w:val="center"/>
        <w:rPr>
          <w:rFonts w:ascii="黑体" w:hAnsi="黑体" w:eastAsia="黑体"/>
          <w:b/>
          <w:sz w:val="24"/>
          <w:szCs w:val="24"/>
        </w:rPr>
      </w:pPr>
      <w:r>
        <w:rPr>
          <w:rStyle w:val="8"/>
          <w:rFonts w:hint="eastAsia" w:ascii="黑体" w:hAnsi="黑体" w:eastAsia="黑体"/>
          <w:b w:val="0"/>
          <w:sz w:val="24"/>
          <w:szCs w:val="24"/>
        </w:rPr>
        <w:t>表 3  2020上半年全国各省（区、市）成交额情况   （单位：万元）</w:t>
      </w:r>
    </w:p>
    <w:tbl>
      <w:tblPr>
        <w:tblStyle w:val="6"/>
        <w:tblW w:w="5021" w:type="pct"/>
        <w:tblInd w:w="-17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994"/>
        <w:gridCol w:w="1184"/>
        <w:gridCol w:w="1561"/>
        <w:gridCol w:w="1561"/>
        <w:gridCol w:w="1561"/>
        <w:gridCol w:w="1697"/>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val="0"/>
                <w:bCs w:val="0"/>
                <w:i w:val="0"/>
                <w:iCs w:val="0"/>
                <w:color w:val="auto"/>
                <w:kern w:val="0"/>
                <w:szCs w:val="21"/>
              </w:rPr>
            </w:pPr>
            <w:r>
              <w:rPr>
                <w:rFonts w:hint="eastAsia" w:cs="宋体" w:asciiTheme="minorEastAsia" w:hAnsiTheme="minorEastAsia" w:eastAsiaTheme="minorEastAsia"/>
                <w:b/>
                <w:bCs/>
                <w:i w:val="0"/>
                <w:iCs w:val="0"/>
                <w:color w:val="auto"/>
                <w:kern w:val="0"/>
                <w:szCs w:val="21"/>
              </w:rPr>
              <w:t>成交额排名</w:t>
            </w:r>
          </w:p>
        </w:tc>
        <w:tc>
          <w:tcPr>
            <w:tcW w:w="692"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bCs w:val="0"/>
                <w:i w:val="0"/>
                <w:iCs w:val="0"/>
                <w:color w:val="auto"/>
                <w:kern w:val="0"/>
                <w:szCs w:val="21"/>
              </w:rPr>
            </w:pPr>
            <w:r>
              <w:rPr>
                <w:rFonts w:hint="eastAsia" w:cs="宋体" w:asciiTheme="minorEastAsia" w:hAnsiTheme="minorEastAsia" w:eastAsiaTheme="minorEastAsia"/>
                <w:b/>
                <w:bCs w:val="0"/>
                <w:i w:val="0"/>
                <w:iCs w:val="0"/>
                <w:color w:val="auto"/>
                <w:kern w:val="0"/>
                <w:szCs w:val="21"/>
              </w:rPr>
              <w:t>区域</w:t>
            </w:r>
          </w:p>
        </w:tc>
        <w:tc>
          <w:tcPr>
            <w:tcW w:w="912"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val="0"/>
                <w:bCs w:val="0"/>
                <w:i w:val="0"/>
                <w:iCs w:val="0"/>
                <w:color w:val="auto"/>
                <w:kern w:val="0"/>
                <w:szCs w:val="21"/>
              </w:rPr>
            </w:pPr>
            <w:r>
              <w:rPr>
                <w:rFonts w:hint="eastAsia" w:cs="宋体" w:asciiTheme="minorEastAsia" w:hAnsiTheme="minorEastAsia" w:eastAsiaTheme="minorEastAsia"/>
                <w:b/>
                <w:bCs/>
                <w:i w:val="0"/>
                <w:iCs w:val="0"/>
                <w:color w:val="auto"/>
                <w:kern w:val="0"/>
                <w:szCs w:val="21"/>
              </w:rPr>
              <w:t>第一季度</w:t>
            </w:r>
          </w:p>
        </w:tc>
        <w:tc>
          <w:tcPr>
            <w:tcW w:w="912"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val="0"/>
                <w:bCs w:val="0"/>
                <w:i w:val="0"/>
                <w:iCs w:val="0"/>
                <w:color w:val="auto"/>
                <w:kern w:val="0"/>
                <w:szCs w:val="21"/>
              </w:rPr>
            </w:pPr>
            <w:r>
              <w:rPr>
                <w:rFonts w:hint="eastAsia" w:cs="宋体" w:asciiTheme="minorEastAsia" w:hAnsiTheme="minorEastAsia" w:eastAsiaTheme="minorEastAsia"/>
                <w:b/>
                <w:bCs/>
                <w:i w:val="0"/>
                <w:iCs w:val="0"/>
                <w:color w:val="auto"/>
                <w:kern w:val="0"/>
                <w:szCs w:val="21"/>
              </w:rPr>
              <w:t>第二季度</w:t>
            </w:r>
          </w:p>
        </w:tc>
        <w:tc>
          <w:tcPr>
            <w:tcW w:w="912"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val="0"/>
                <w:bCs w:val="0"/>
                <w:i w:val="0"/>
                <w:iCs w:val="0"/>
                <w:color w:val="auto"/>
                <w:kern w:val="0"/>
                <w:szCs w:val="21"/>
              </w:rPr>
            </w:pPr>
            <w:r>
              <w:rPr>
                <w:rFonts w:hint="eastAsia" w:cs="宋体" w:asciiTheme="minorEastAsia" w:hAnsiTheme="minorEastAsia" w:eastAsiaTheme="minorEastAsia"/>
                <w:b/>
                <w:bCs/>
                <w:i w:val="0"/>
                <w:iCs w:val="0"/>
                <w:color w:val="auto"/>
                <w:kern w:val="0"/>
                <w:szCs w:val="21"/>
              </w:rPr>
              <w:t>上半年合计</w:t>
            </w:r>
          </w:p>
        </w:tc>
        <w:tc>
          <w:tcPr>
            <w:tcW w:w="992" w:type="pct"/>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5B9BD5" w:themeFill="accent1"/>
            <w:vAlign w:val="center"/>
          </w:tcPr>
          <w:p>
            <w:pPr>
              <w:widowControl/>
              <w:jc w:val="center"/>
              <w:rPr>
                <w:rFonts w:cs="宋体" w:asciiTheme="minorEastAsia" w:hAnsiTheme="minorEastAsia" w:eastAsiaTheme="minorEastAsia"/>
                <w:b w:val="0"/>
                <w:bCs w:val="0"/>
                <w:i w:val="0"/>
                <w:iCs w:val="0"/>
                <w:color w:val="auto"/>
                <w:kern w:val="0"/>
                <w:szCs w:val="21"/>
              </w:rPr>
            </w:pPr>
            <w:r>
              <w:rPr>
                <w:rFonts w:hint="eastAsia" w:cs="宋体" w:asciiTheme="minorEastAsia" w:hAnsiTheme="minorEastAsia" w:eastAsiaTheme="minorEastAsia"/>
                <w:b/>
                <w:bCs/>
                <w:i w:val="0"/>
                <w:iCs w:val="0"/>
                <w:color w:val="auto"/>
                <w:kern w:val="0"/>
                <w:szCs w:val="21"/>
              </w:rPr>
              <w:t>季度增长率(%)</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全国</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8798629.779</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19321928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28120557.76</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119.6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河北省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2001660.192</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3988260</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5989920.559</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99.25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福建省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1588146.318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2806965</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4395111.353</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76.74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3</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四川省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671725.2472</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2684308</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3356033.266</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299.61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4</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安徽省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757575.4302</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1766602</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2524177.924</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133.19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5</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上海市</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751785.4323</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1117497</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1869282.633</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48.65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7</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浙江省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392648.0351</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808143.6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1200791.666</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105.82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8</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山东省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413062.7699</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753621.8</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1166684.593</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82.45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6</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湖北省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185801.5348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944281.3</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1130082.803</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408.22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10</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甘肃省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243859.7286</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502557.4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746417.1302</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106.08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11</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云南省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271722.8766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454247.6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725970.4461</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67.17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9</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江苏省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153778.064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535727.9</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689505.925</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248.38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12</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湖南省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138074.4231</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356144.5</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494218.9373</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157.94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13</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广西区自治区</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124675.8148</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296228.9</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420904.7604</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137.6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15</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广东省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120935.3328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226896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347831.3815</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87.62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17</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内蒙古</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129610.5744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207292.7</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336903.289</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59.94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19</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河南省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129954.6782</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170219.3</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300173.9587</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30.98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14</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北京市</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60715.7527</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229506.4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290222.2003</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278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18</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陕西省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89389.0457</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186457.2</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275846.2564</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108.59</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23</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海南省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131941.4581</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142808.7</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274750.1666</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8.24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22</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辽宁省</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120901.0643</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153368.8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274269.8898</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26.85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16</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新疆区自治区</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43045.1974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219090.5</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262135.6994</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408.98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20</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重庆市</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50768.5778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169123.6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219892.138</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233.13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21</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江西省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45121.9159</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167093.4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212215.3656</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270.32</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24</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天津市</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2678.9538</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132856.5</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135535.4332</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4859.27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25</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贵州省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58586.7561</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67244.84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125831.599</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14.78</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27</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西藏区自治区</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70112.725</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40386.65</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110499.375</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-42.4</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26</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山西省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7389.7669</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53224.77</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60614.5394</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620.25</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28</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黑龙江</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19961.3759</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40275.66</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60237.0341</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101.77</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29</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吉林省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9185.7035</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39828.98</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49014.6795</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333.6</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30</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宁夏自治区</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10314.7091</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27798.7</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38113.4128</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169.51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left w:val="single" w:color="FFFFFF" w:themeColor="background1" w:sz="8" w:space="0"/>
              <w:bottom w:val="nil"/>
              <w:right w:val="single" w:color="FFFFFF" w:themeColor="background1" w:sz="24" w:space="0"/>
              <w:insideH w:val="nil"/>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31</w:t>
            </w:r>
          </w:p>
        </w:tc>
        <w:tc>
          <w:tcPr>
            <w:tcW w:w="6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青海省</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2719.794</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21951.81</w:t>
            </w:r>
          </w:p>
        </w:tc>
        <w:tc>
          <w:tcPr>
            <w:tcW w:w="91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24671.608</w:t>
            </w:r>
          </w:p>
        </w:tc>
        <w:tc>
          <w:tcPr>
            <w:tcW w:w="992" w:type="pct"/>
            <w:shd w:val="clear" w:color="auto" w:fill="D6E6F4" w:themeFill="accent1" w:themeFillTint="3F"/>
            <w:vAlign w:val="center"/>
          </w:tcPr>
          <w:p>
            <w:pPr>
              <w:jc w:val="center"/>
              <w:rPr>
                <w:rFonts w:ascii="宋体" w:hAnsi="宋体" w:cs="宋体"/>
                <w:color w:val="333333"/>
                <w:sz w:val="22"/>
              </w:rPr>
            </w:pPr>
            <w:r>
              <w:rPr>
                <w:rFonts w:hint="eastAsia"/>
                <w:color w:val="333333"/>
                <w:sz w:val="22"/>
              </w:rPr>
              <w:t>707.11</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581" w:type="pct"/>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5B9BD5" w:themeFill="accent1"/>
            <w:vAlign w:val="center"/>
          </w:tcPr>
          <w:p>
            <w:pPr>
              <w:jc w:val="center"/>
              <w:rPr>
                <w:rFonts w:ascii="宋体" w:hAnsi="宋体" w:cs="宋体"/>
                <w:b/>
                <w:bCs/>
                <w:i w:val="0"/>
                <w:iCs w:val="0"/>
                <w:color w:val="333333"/>
                <w:sz w:val="22"/>
              </w:rPr>
            </w:pPr>
            <w:r>
              <w:rPr>
                <w:rFonts w:hint="eastAsia"/>
                <w:b/>
                <w:bCs/>
                <w:i w:val="0"/>
                <w:iCs w:val="0"/>
                <w:color w:val="333333"/>
                <w:sz w:val="22"/>
              </w:rPr>
              <w:t>32</w:t>
            </w:r>
          </w:p>
        </w:tc>
        <w:tc>
          <w:tcPr>
            <w:tcW w:w="6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新疆兵团</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780.53</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11917.21</w:t>
            </w:r>
          </w:p>
        </w:tc>
        <w:tc>
          <w:tcPr>
            <w:tcW w:w="91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12697.7418</w:t>
            </w:r>
          </w:p>
        </w:tc>
        <w:tc>
          <w:tcPr>
            <w:tcW w:w="992" w:type="pct"/>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vAlign w:val="center"/>
          </w:tcPr>
          <w:p>
            <w:pPr>
              <w:jc w:val="center"/>
              <w:rPr>
                <w:rFonts w:ascii="宋体" w:hAnsi="宋体" w:cs="宋体"/>
                <w:color w:val="333333"/>
                <w:sz w:val="22"/>
              </w:rPr>
            </w:pPr>
            <w:r>
              <w:rPr>
                <w:rFonts w:hint="eastAsia"/>
                <w:color w:val="333333"/>
                <w:sz w:val="22"/>
              </w:rPr>
              <w:t>1426.81</w:t>
            </w:r>
          </w:p>
        </w:tc>
      </w:tr>
    </w:tbl>
    <w:p>
      <w:pPr>
        <w:pStyle w:val="11"/>
        <w:ind w:firstLine="540" w:firstLineChars="0"/>
        <w:rPr>
          <w:rFonts w:ascii="仿宋" w:hAnsi="仿宋" w:eastAsia="仿宋"/>
          <w:szCs w:val="21"/>
        </w:rPr>
      </w:pPr>
    </w:p>
    <w:p>
      <w:pPr>
        <w:pStyle w:val="11"/>
        <w:ind w:firstLine="540" w:firstLineChars="0"/>
        <w:rPr>
          <w:rFonts w:hint="eastAsia" w:ascii="仿宋" w:hAnsi="仿宋" w:eastAsia="仿宋"/>
          <w:sz w:val="28"/>
          <w:szCs w:val="28"/>
        </w:rPr>
      </w:pPr>
      <w:r>
        <w:rPr>
          <w:rFonts w:hint="eastAsia" w:ascii="仿宋" w:hAnsi="仿宋" w:eastAsia="仿宋"/>
          <w:sz w:val="28"/>
          <w:szCs w:val="28"/>
        </w:rPr>
        <w:t>从拍卖业务的地域分布来看，主要成交额仍然分布在京津冀、长三角、珠三角及东南沿海其它经济发达地区，约占行业总业务量的70%,但中、西部地区业务量在上半年也形成了一定突破，例如四川、湖北、甘肃、云南等地的拍卖业务规模在行业中占比逐渐突出。</w:t>
      </w:r>
    </w:p>
    <w:p>
      <w:pPr>
        <w:pStyle w:val="11"/>
        <w:ind w:firstLine="560"/>
        <w:rPr>
          <w:rFonts w:ascii="仿宋" w:hAnsi="仿宋" w:eastAsia="仿宋"/>
          <w:sz w:val="28"/>
          <w:szCs w:val="28"/>
        </w:rPr>
      </w:pPr>
      <w:r>
        <w:rPr>
          <w:rFonts w:hint="eastAsia" w:ascii="仿宋" w:hAnsi="仿宋" w:eastAsia="仿宋"/>
          <w:sz w:val="28"/>
          <w:szCs w:val="28"/>
        </w:rPr>
        <w:t>从拍卖业务聚集情况看，趋于集中具有一定规模的大、中型拍卖企业。尤其在疫情之下，拍卖企业正在遭遇经营业务停顿、经验不足等诸多困难，但同时也面临着新的资产配置交易需求增加和“疫后”传统流通产业链升级的新机遇。因此，企业应在经营和服务理念、业务模式、营销手段和监管自律等多个方面迅速提升，以适应复杂多变的营商环境。</w:t>
      </w:r>
    </w:p>
    <w:p>
      <w:pPr>
        <w:pStyle w:val="11"/>
        <w:spacing w:beforeLines="50" w:afterLines="50"/>
        <w:ind w:firstLine="480" w:firstLineChars="150"/>
        <w:rPr>
          <w:rFonts w:ascii="黑体" w:hAnsi="黑体" w:eastAsia="黑体"/>
          <w:sz w:val="32"/>
          <w:szCs w:val="32"/>
        </w:rPr>
      </w:pPr>
      <w:r>
        <w:rPr>
          <w:rFonts w:hint="eastAsia" w:ascii="黑体" w:hAnsi="黑体" w:eastAsia="黑体"/>
          <w:sz w:val="32"/>
          <w:szCs w:val="32"/>
        </w:rPr>
        <w:t>五、行业效益情况</w:t>
      </w:r>
    </w:p>
    <w:p>
      <w:pPr>
        <w:pStyle w:val="11"/>
        <w:ind w:firstLineChars="150"/>
        <w:rPr>
          <w:rFonts w:hint="eastAsia" w:ascii="仿宋" w:hAnsi="仿宋" w:eastAsia="仿宋"/>
          <w:sz w:val="28"/>
          <w:szCs w:val="28"/>
        </w:rPr>
      </w:pPr>
      <w:r>
        <w:rPr>
          <w:rFonts w:hint="eastAsia" w:ascii="仿宋" w:hAnsi="仿宋" w:eastAsia="仿宋"/>
          <w:sz w:val="28"/>
          <w:szCs w:val="28"/>
        </w:rPr>
        <w:t>上半年，全国拍卖企业主营业务收入16.36亿元，同比下降18.68%，行业平均佣金率为0.58%。行业主营业务利润为7.86亿元，同比降幅12.17%，二季度陆续复工后，企业利润率有所提升，6月当月实现主营业务利润2.1亿元，同比增幅达到16.14%。</w:t>
      </w:r>
      <w:r>
        <w:rPr>
          <w:rStyle w:val="8"/>
          <w:rFonts w:hint="eastAsia" w:ascii="仿宋" w:hAnsi="仿宋" w:eastAsia="仿宋"/>
          <w:b w:val="0"/>
          <w:sz w:val="28"/>
          <w:szCs w:val="28"/>
        </w:rPr>
        <w:t>上半年，全行业共缴付增值税5570.59万元，缴付企业所得税4472.69万元。</w:t>
      </w:r>
      <w:r>
        <w:rPr>
          <w:rFonts w:hint="eastAsia" w:ascii="仿宋" w:hAnsi="仿宋" w:eastAsia="仿宋"/>
          <w:sz w:val="28"/>
          <w:szCs w:val="28"/>
        </w:rPr>
        <w:t>各拍卖标的板块的佣金收入情况见表4。</w:t>
      </w:r>
    </w:p>
    <w:p>
      <w:pPr>
        <w:pStyle w:val="11"/>
        <w:ind w:firstLine="360" w:firstLineChars="150"/>
        <w:jc w:val="center"/>
        <w:rPr>
          <w:rFonts w:hint="eastAsia" w:ascii="黑体" w:hAnsi="黑体" w:eastAsia="黑体"/>
          <w:sz w:val="24"/>
          <w:szCs w:val="24"/>
        </w:rPr>
      </w:pPr>
    </w:p>
    <w:p>
      <w:pPr>
        <w:pStyle w:val="11"/>
        <w:ind w:firstLine="360" w:firstLineChars="150"/>
        <w:jc w:val="center"/>
        <w:rPr>
          <w:rFonts w:hint="eastAsia" w:ascii="仿宋" w:hAnsi="仿宋" w:eastAsia="仿宋"/>
          <w:sz w:val="28"/>
          <w:szCs w:val="28"/>
        </w:rPr>
      </w:pPr>
      <w:r>
        <w:rPr>
          <w:rFonts w:hint="eastAsia" w:ascii="黑体" w:hAnsi="黑体" w:eastAsia="黑体"/>
          <w:sz w:val="24"/>
          <w:szCs w:val="24"/>
        </w:rPr>
        <w:t>表4    2020年上半年各标的佣金收入情况</w:t>
      </w:r>
    </w:p>
    <w:tbl>
      <w:tblPr>
        <w:tblStyle w:val="5"/>
        <w:tblW w:w="6640" w:type="dxa"/>
        <w:jc w:val="center"/>
        <w:tblLayout w:type="autofit"/>
        <w:tblCellMar>
          <w:top w:w="0" w:type="dxa"/>
          <w:left w:w="108" w:type="dxa"/>
          <w:bottom w:w="0" w:type="dxa"/>
          <w:right w:w="108" w:type="dxa"/>
        </w:tblCellMar>
      </w:tblPr>
      <w:tblGrid>
        <w:gridCol w:w="2480"/>
        <w:gridCol w:w="2260"/>
        <w:gridCol w:w="1900"/>
      </w:tblGrid>
      <w:tr>
        <w:tblPrEx>
          <w:tblCellMar>
            <w:top w:w="0" w:type="dxa"/>
            <w:left w:w="108" w:type="dxa"/>
            <w:bottom w:w="0" w:type="dxa"/>
            <w:right w:w="108" w:type="dxa"/>
          </w:tblCellMar>
        </w:tblPrEx>
        <w:trPr>
          <w:trHeight w:val="390" w:hRule="atLeast"/>
          <w:jc w:val="center"/>
        </w:trPr>
        <w:tc>
          <w:tcPr>
            <w:tcW w:w="2480" w:type="dxa"/>
            <w:tcBorders>
              <w:top w:val="single" w:color="FFFFFF" w:sz="4" w:space="0"/>
              <w:left w:val="single" w:color="FFFFFF" w:sz="4" w:space="0"/>
              <w:bottom w:val="single" w:color="FFFFFF" w:sz="4" w:space="0"/>
              <w:right w:val="nil"/>
            </w:tcBorders>
            <w:shd w:val="clear" w:color="000000" w:fill="8DB4E3"/>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0" w:type="dxa"/>
            <w:tcBorders>
              <w:top w:val="single" w:color="FFFFFF" w:sz="4" w:space="0"/>
              <w:left w:val="single" w:color="FFFFFF" w:sz="4" w:space="0"/>
              <w:bottom w:val="single" w:color="FFFFFF" w:sz="4" w:space="0"/>
              <w:right w:val="single" w:color="FFFFFF" w:sz="4" w:space="0"/>
            </w:tcBorders>
            <w:shd w:val="clear" w:color="000000" w:fill="8DB4E3"/>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拍卖佣金额（亿元）</w:t>
            </w:r>
          </w:p>
        </w:tc>
        <w:tc>
          <w:tcPr>
            <w:tcW w:w="1900" w:type="dxa"/>
            <w:tcBorders>
              <w:top w:val="single" w:color="FFFFFF" w:sz="4" w:space="0"/>
              <w:left w:val="nil"/>
              <w:bottom w:val="single" w:color="FFFFFF" w:sz="4" w:space="0"/>
              <w:right w:val="single" w:color="FFFFFF" w:sz="4" w:space="0"/>
            </w:tcBorders>
            <w:shd w:val="clear" w:color="000000" w:fill="8DB4E3"/>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佣金率</w:t>
            </w:r>
          </w:p>
        </w:tc>
      </w:tr>
      <w:tr>
        <w:tblPrEx>
          <w:tblCellMar>
            <w:top w:w="0" w:type="dxa"/>
            <w:left w:w="108" w:type="dxa"/>
            <w:bottom w:w="0" w:type="dxa"/>
            <w:right w:w="108" w:type="dxa"/>
          </w:tblCellMar>
        </w:tblPrEx>
        <w:trPr>
          <w:trHeight w:val="390" w:hRule="atLeast"/>
          <w:jc w:val="center"/>
        </w:trPr>
        <w:tc>
          <w:tcPr>
            <w:tcW w:w="2480" w:type="dxa"/>
            <w:tcBorders>
              <w:top w:val="nil"/>
              <w:left w:val="single" w:color="FFFFFF" w:sz="4" w:space="0"/>
              <w:bottom w:val="nil"/>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房地产</w:t>
            </w:r>
          </w:p>
        </w:tc>
        <w:tc>
          <w:tcPr>
            <w:tcW w:w="2260" w:type="dxa"/>
            <w:tcBorders>
              <w:top w:val="nil"/>
              <w:left w:val="single" w:color="FFFFFF" w:sz="4" w:space="0"/>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3.96</w:t>
            </w:r>
          </w:p>
        </w:tc>
        <w:tc>
          <w:tcPr>
            <w:tcW w:w="1900" w:type="dxa"/>
            <w:tcBorders>
              <w:top w:val="nil"/>
              <w:left w:val="nil"/>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0.93%</w:t>
            </w:r>
          </w:p>
        </w:tc>
      </w:tr>
      <w:tr>
        <w:tblPrEx>
          <w:tblCellMar>
            <w:top w:w="0" w:type="dxa"/>
            <w:left w:w="108" w:type="dxa"/>
            <w:bottom w:w="0" w:type="dxa"/>
            <w:right w:w="108" w:type="dxa"/>
          </w:tblCellMar>
        </w:tblPrEx>
        <w:trPr>
          <w:trHeight w:val="390" w:hRule="atLeast"/>
          <w:jc w:val="center"/>
        </w:trPr>
        <w:tc>
          <w:tcPr>
            <w:tcW w:w="2480" w:type="dxa"/>
            <w:tcBorders>
              <w:top w:val="single" w:color="FFFFFF" w:sz="4" w:space="0"/>
              <w:left w:val="single" w:color="FFFFFF" w:sz="4" w:space="0"/>
              <w:bottom w:val="single" w:color="FFFFFF" w:sz="4" w:space="0"/>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土地使用权</w:t>
            </w:r>
          </w:p>
        </w:tc>
        <w:tc>
          <w:tcPr>
            <w:tcW w:w="2260" w:type="dxa"/>
            <w:tcBorders>
              <w:top w:val="single" w:color="FFFFFF" w:sz="4" w:space="0"/>
              <w:left w:val="single" w:color="FFFFFF" w:sz="4" w:space="0"/>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3.44</w:t>
            </w:r>
          </w:p>
        </w:tc>
        <w:tc>
          <w:tcPr>
            <w:tcW w:w="1900" w:type="dxa"/>
            <w:tcBorders>
              <w:top w:val="single" w:color="FFFFFF" w:sz="4" w:space="0"/>
              <w:left w:val="nil"/>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0.19%</w:t>
            </w:r>
          </w:p>
        </w:tc>
      </w:tr>
      <w:tr>
        <w:tblPrEx>
          <w:tblCellMar>
            <w:top w:w="0" w:type="dxa"/>
            <w:left w:w="108" w:type="dxa"/>
            <w:bottom w:w="0" w:type="dxa"/>
            <w:right w:w="108" w:type="dxa"/>
          </w:tblCellMar>
        </w:tblPrEx>
        <w:trPr>
          <w:trHeight w:val="390" w:hRule="atLeast"/>
          <w:jc w:val="center"/>
        </w:trPr>
        <w:tc>
          <w:tcPr>
            <w:tcW w:w="2480" w:type="dxa"/>
            <w:tcBorders>
              <w:top w:val="nil"/>
              <w:left w:val="single" w:color="FFFFFF" w:sz="4" w:space="0"/>
              <w:bottom w:val="nil"/>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机动车</w:t>
            </w:r>
          </w:p>
        </w:tc>
        <w:tc>
          <w:tcPr>
            <w:tcW w:w="2260" w:type="dxa"/>
            <w:tcBorders>
              <w:top w:val="nil"/>
              <w:left w:val="single" w:color="FFFFFF" w:sz="4" w:space="0"/>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2.66</w:t>
            </w:r>
          </w:p>
        </w:tc>
        <w:tc>
          <w:tcPr>
            <w:tcW w:w="1900" w:type="dxa"/>
            <w:tcBorders>
              <w:top w:val="nil"/>
              <w:left w:val="nil"/>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3.32%</w:t>
            </w:r>
          </w:p>
        </w:tc>
      </w:tr>
      <w:tr>
        <w:tblPrEx>
          <w:tblCellMar>
            <w:top w:w="0" w:type="dxa"/>
            <w:left w:w="108" w:type="dxa"/>
            <w:bottom w:w="0" w:type="dxa"/>
            <w:right w:w="108" w:type="dxa"/>
          </w:tblCellMar>
        </w:tblPrEx>
        <w:trPr>
          <w:trHeight w:val="390" w:hRule="atLeast"/>
          <w:jc w:val="center"/>
        </w:trPr>
        <w:tc>
          <w:tcPr>
            <w:tcW w:w="2480" w:type="dxa"/>
            <w:tcBorders>
              <w:top w:val="single" w:color="FFFFFF" w:sz="4" w:space="0"/>
              <w:left w:val="single" w:color="FFFFFF" w:sz="4" w:space="0"/>
              <w:bottom w:val="nil"/>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农副产品</w:t>
            </w:r>
          </w:p>
        </w:tc>
        <w:tc>
          <w:tcPr>
            <w:tcW w:w="2260" w:type="dxa"/>
            <w:tcBorders>
              <w:top w:val="single" w:color="FFFFFF" w:sz="4" w:space="0"/>
              <w:left w:val="single" w:color="FFFFFF" w:sz="4" w:space="0"/>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0.47</w:t>
            </w:r>
          </w:p>
        </w:tc>
        <w:tc>
          <w:tcPr>
            <w:tcW w:w="1900" w:type="dxa"/>
            <w:tcBorders>
              <w:top w:val="single" w:color="FFFFFF" w:sz="4" w:space="0"/>
              <w:left w:val="nil"/>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3.88%</w:t>
            </w:r>
          </w:p>
        </w:tc>
      </w:tr>
      <w:tr>
        <w:tblPrEx>
          <w:tblCellMar>
            <w:top w:w="0" w:type="dxa"/>
            <w:left w:w="108" w:type="dxa"/>
            <w:bottom w:w="0" w:type="dxa"/>
            <w:right w:w="108" w:type="dxa"/>
          </w:tblCellMar>
        </w:tblPrEx>
        <w:trPr>
          <w:trHeight w:val="390" w:hRule="atLeast"/>
          <w:jc w:val="center"/>
        </w:trPr>
        <w:tc>
          <w:tcPr>
            <w:tcW w:w="2480" w:type="dxa"/>
            <w:tcBorders>
              <w:top w:val="single" w:color="FFFFFF" w:sz="4" w:space="0"/>
              <w:left w:val="single" w:color="FFFFFF" w:sz="4" w:space="0"/>
              <w:bottom w:val="single" w:color="FFFFFF" w:sz="4" w:space="0"/>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股权、债权、产权</w:t>
            </w:r>
          </w:p>
        </w:tc>
        <w:tc>
          <w:tcPr>
            <w:tcW w:w="2260" w:type="dxa"/>
            <w:tcBorders>
              <w:top w:val="single" w:color="FFFFFF" w:sz="4" w:space="0"/>
              <w:left w:val="single" w:color="FFFFFF" w:sz="4" w:space="0"/>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0.91</w:t>
            </w:r>
          </w:p>
        </w:tc>
        <w:tc>
          <w:tcPr>
            <w:tcW w:w="1900" w:type="dxa"/>
            <w:tcBorders>
              <w:top w:val="single" w:color="FFFFFF" w:sz="4" w:space="0"/>
              <w:left w:val="nil"/>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0.50%</w:t>
            </w:r>
          </w:p>
        </w:tc>
      </w:tr>
      <w:tr>
        <w:tblPrEx>
          <w:tblCellMar>
            <w:top w:w="0" w:type="dxa"/>
            <w:left w:w="108" w:type="dxa"/>
            <w:bottom w:w="0" w:type="dxa"/>
            <w:right w:w="108" w:type="dxa"/>
          </w:tblCellMar>
        </w:tblPrEx>
        <w:trPr>
          <w:trHeight w:val="390" w:hRule="atLeast"/>
          <w:jc w:val="center"/>
        </w:trPr>
        <w:tc>
          <w:tcPr>
            <w:tcW w:w="2480" w:type="dxa"/>
            <w:tcBorders>
              <w:top w:val="nil"/>
              <w:left w:val="single" w:color="FFFFFF" w:sz="4" w:space="0"/>
              <w:bottom w:val="nil"/>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无形资产</w:t>
            </w:r>
          </w:p>
        </w:tc>
        <w:tc>
          <w:tcPr>
            <w:tcW w:w="2260" w:type="dxa"/>
            <w:tcBorders>
              <w:top w:val="nil"/>
              <w:left w:val="single" w:color="FFFFFF" w:sz="4" w:space="0"/>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0.48</w:t>
            </w:r>
          </w:p>
        </w:tc>
        <w:tc>
          <w:tcPr>
            <w:tcW w:w="1900" w:type="dxa"/>
            <w:tcBorders>
              <w:top w:val="nil"/>
              <w:left w:val="nil"/>
              <w:bottom w:val="nil"/>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0.39%</w:t>
            </w:r>
          </w:p>
        </w:tc>
      </w:tr>
      <w:tr>
        <w:tblPrEx>
          <w:tblCellMar>
            <w:top w:w="0" w:type="dxa"/>
            <w:left w:w="108" w:type="dxa"/>
            <w:bottom w:w="0" w:type="dxa"/>
            <w:right w:w="108" w:type="dxa"/>
          </w:tblCellMar>
        </w:tblPrEx>
        <w:trPr>
          <w:trHeight w:val="390" w:hRule="atLeast"/>
          <w:jc w:val="center"/>
        </w:trPr>
        <w:tc>
          <w:tcPr>
            <w:tcW w:w="2480" w:type="dxa"/>
            <w:tcBorders>
              <w:top w:val="single" w:color="FFFFFF" w:sz="4" w:space="0"/>
              <w:left w:val="single" w:color="FFFFFF" w:sz="4" w:space="0"/>
              <w:bottom w:val="single" w:color="FFFFFF" w:sz="4" w:space="0"/>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文物艺术品</w:t>
            </w:r>
          </w:p>
        </w:tc>
        <w:tc>
          <w:tcPr>
            <w:tcW w:w="2260" w:type="dxa"/>
            <w:tcBorders>
              <w:top w:val="single" w:color="FFFFFF" w:sz="4" w:space="0"/>
              <w:left w:val="single" w:color="FFFFFF" w:sz="4" w:space="0"/>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0.9</w:t>
            </w:r>
          </w:p>
        </w:tc>
        <w:tc>
          <w:tcPr>
            <w:tcW w:w="1900" w:type="dxa"/>
            <w:tcBorders>
              <w:top w:val="single" w:color="FFFFFF" w:sz="4" w:space="0"/>
              <w:left w:val="nil"/>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13.08%</w:t>
            </w:r>
          </w:p>
        </w:tc>
      </w:tr>
      <w:tr>
        <w:tblPrEx>
          <w:tblCellMar>
            <w:top w:w="0" w:type="dxa"/>
            <w:left w:w="108" w:type="dxa"/>
            <w:bottom w:w="0" w:type="dxa"/>
            <w:right w:w="108" w:type="dxa"/>
          </w:tblCellMar>
        </w:tblPrEx>
        <w:trPr>
          <w:trHeight w:val="390" w:hRule="atLeast"/>
          <w:jc w:val="center"/>
        </w:trPr>
        <w:tc>
          <w:tcPr>
            <w:tcW w:w="2480" w:type="dxa"/>
            <w:tcBorders>
              <w:top w:val="nil"/>
              <w:left w:val="single" w:color="FFFFFF" w:sz="4" w:space="0"/>
              <w:bottom w:val="single" w:color="FFFFFF" w:sz="4" w:space="0"/>
              <w:right w:val="nil"/>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w:t>
            </w:r>
          </w:p>
        </w:tc>
        <w:tc>
          <w:tcPr>
            <w:tcW w:w="2260" w:type="dxa"/>
            <w:tcBorders>
              <w:top w:val="nil"/>
              <w:left w:val="single" w:color="FFFFFF" w:sz="4" w:space="0"/>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3.53</w:t>
            </w:r>
          </w:p>
        </w:tc>
        <w:tc>
          <w:tcPr>
            <w:tcW w:w="1900" w:type="dxa"/>
            <w:tcBorders>
              <w:top w:val="nil"/>
              <w:left w:val="nil"/>
              <w:bottom w:val="single" w:color="FFFFFF" w:sz="4" w:space="0"/>
              <w:right w:val="single" w:color="FFFFFF" w:sz="4" w:space="0"/>
            </w:tcBorders>
            <w:shd w:val="clear" w:color="000000" w:fill="8DB4E3"/>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1.77%</w:t>
            </w:r>
          </w:p>
        </w:tc>
      </w:tr>
    </w:tbl>
    <w:p>
      <w:pPr>
        <w:pStyle w:val="11"/>
        <w:spacing w:beforeLines="100"/>
        <w:ind w:firstLine="0" w:firstLineChars="0"/>
        <w:jc w:val="center"/>
        <w:rPr>
          <w:rFonts w:hint="eastAsia" w:ascii="黑体" w:hAnsi="黑体" w:eastAsia="黑体"/>
          <w:sz w:val="24"/>
          <w:szCs w:val="24"/>
        </w:rPr>
      </w:pPr>
    </w:p>
    <w:p>
      <w:pPr>
        <w:pStyle w:val="11"/>
        <w:spacing w:beforeLines="100"/>
        <w:ind w:firstLine="0" w:firstLineChars="0"/>
        <w:jc w:val="center"/>
        <w:rPr>
          <w:rFonts w:ascii="黑体" w:hAnsi="黑体" w:eastAsia="黑体"/>
          <w:sz w:val="24"/>
          <w:szCs w:val="24"/>
        </w:rPr>
      </w:pPr>
      <w:r>
        <w:rPr>
          <w:rFonts w:hint="eastAsia" w:ascii="黑体" w:hAnsi="黑体" w:eastAsia="黑体"/>
          <w:sz w:val="24"/>
          <w:szCs w:val="24"/>
        </w:rPr>
        <w:t>图2    2020年上半年各标的佣金占比情况</w:t>
      </w:r>
    </w:p>
    <w:p>
      <w:pPr>
        <w:pStyle w:val="11"/>
        <w:ind w:firstLine="0" w:firstLineChars="0"/>
        <w:jc w:val="center"/>
        <w:rPr>
          <w:rFonts w:hint="eastAsia" w:ascii="仿宋" w:hAnsi="仿宋" w:eastAsia="仿宋"/>
          <w:sz w:val="28"/>
          <w:szCs w:val="28"/>
        </w:rPr>
      </w:pPr>
      <w:r>
        <w:rPr>
          <w:rFonts w:ascii="仿宋" w:hAnsi="仿宋" w:eastAsia="仿宋"/>
          <w:sz w:val="28"/>
          <w:szCs w:val="28"/>
        </w:rPr>
        <w:drawing>
          <wp:inline distT="0" distB="0" distL="0" distR="0">
            <wp:extent cx="5124450" cy="2905125"/>
            <wp:effectExtent l="4445" t="4445" r="14605" b="5080"/>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1"/>
        <w:spacing w:beforeLines="100"/>
        <w:ind w:firstLine="0" w:firstLineChars="0"/>
        <w:jc w:val="center"/>
        <w:rPr>
          <w:rFonts w:hint="eastAsia" w:ascii="黑体" w:hAnsi="黑体" w:eastAsia="黑体"/>
          <w:sz w:val="24"/>
          <w:szCs w:val="24"/>
        </w:rPr>
      </w:pPr>
    </w:p>
    <w:p>
      <w:pPr>
        <w:pStyle w:val="11"/>
        <w:spacing w:beforeLines="100"/>
        <w:ind w:firstLine="0" w:firstLineChars="0"/>
        <w:jc w:val="center"/>
        <w:rPr>
          <w:rFonts w:hint="eastAsia" w:ascii="黑体" w:hAnsi="黑体" w:eastAsia="黑体"/>
          <w:sz w:val="24"/>
          <w:szCs w:val="24"/>
        </w:rPr>
      </w:pPr>
    </w:p>
    <w:p>
      <w:pPr>
        <w:pStyle w:val="11"/>
        <w:spacing w:beforeLines="100"/>
        <w:ind w:firstLine="0" w:firstLineChars="0"/>
        <w:jc w:val="center"/>
        <w:rPr>
          <w:rFonts w:hint="eastAsia" w:ascii="黑体" w:hAnsi="黑体" w:eastAsia="黑体"/>
          <w:sz w:val="24"/>
          <w:szCs w:val="24"/>
        </w:rPr>
      </w:pPr>
    </w:p>
    <w:p>
      <w:pPr>
        <w:pStyle w:val="11"/>
        <w:spacing w:beforeLines="100"/>
        <w:ind w:firstLine="0" w:firstLineChars="0"/>
        <w:jc w:val="center"/>
        <w:rPr>
          <w:rFonts w:ascii="黑体" w:hAnsi="黑体" w:eastAsia="黑体"/>
          <w:sz w:val="24"/>
          <w:szCs w:val="24"/>
        </w:rPr>
      </w:pPr>
      <w:r>
        <w:rPr>
          <w:rFonts w:hint="eastAsia" w:ascii="黑体" w:hAnsi="黑体" w:eastAsia="黑体"/>
          <w:sz w:val="24"/>
          <w:szCs w:val="24"/>
        </w:rPr>
        <w:t>图3   2020年上半年各标的佣金率比较</w:t>
      </w:r>
    </w:p>
    <w:p>
      <w:pPr>
        <w:pStyle w:val="11"/>
        <w:ind w:firstLine="0" w:firstLineChars="0"/>
        <w:jc w:val="center"/>
        <w:rPr>
          <w:rFonts w:ascii="仿宋" w:hAnsi="仿宋" w:eastAsia="仿宋"/>
          <w:sz w:val="28"/>
          <w:szCs w:val="28"/>
        </w:rPr>
      </w:pPr>
      <w:r>
        <w:rPr>
          <w:rFonts w:ascii="仿宋" w:hAnsi="仿宋" w:eastAsia="仿宋"/>
          <w:sz w:val="28"/>
          <w:szCs w:val="28"/>
        </w:rPr>
        <w:drawing>
          <wp:inline distT="0" distB="0" distL="0" distR="0">
            <wp:extent cx="5124450" cy="32004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1"/>
        <w:spacing w:beforeLines="50"/>
        <w:ind w:firstLineChars="150"/>
        <w:rPr>
          <w:rFonts w:ascii="仿宋" w:hAnsi="仿宋" w:eastAsia="仿宋"/>
          <w:sz w:val="28"/>
          <w:szCs w:val="28"/>
        </w:rPr>
      </w:pPr>
      <w:r>
        <w:rPr>
          <w:rFonts w:hint="eastAsia" w:ascii="仿宋" w:hAnsi="仿宋" w:eastAsia="仿宋"/>
          <w:sz w:val="28"/>
          <w:szCs w:val="28"/>
        </w:rPr>
        <w:t>总体来看，上半年拍卖行业平均佣金率整体走低，已由去年同期的0.72%降至今年上半年的0.58%，佣金率水平下降直接导致行业佣金整体收入下降。数据显示，房地产和土地使用权拍卖业务作为行业支柱业务和收入的主要来源，在业务量总体稳定的前提下，由于其佣金率水平持续走低，进一步拉低了行业平均佣金率。</w:t>
      </w:r>
    </w:p>
    <w:p>
      <w:pPr>
        <w:pStyle w:val="11"/>
        <w:ind w:firstLineChars="150"/>
        <w:rPr>
          <w:rFonts w:ascii="仿宋" w:hAnsi="仿宋" w:eastAsia="仿宋"/>
          <w:sz w:val="28"/>
          <w:szCs w:val="28"/>
        </w:rPr>
      </w:pPr>
      <w:r>
        <w:rPr>
          <w:rFonts w:hint="eastAsia" w:ascii="仿宋" w:hAnsi="仿宋" w:eastAsia="仿宋"/>
          <w:sz w:val="28"/>
          <w:szCs w:val="28"/>
        </w:rPr>
        <w:t>上半年行业效益亮点主要体现在机动车和农副产品拍卖业务板块，主要委托来源是各类社会机构委托和个人委托等，拍卖佣金率相对较高。未来，随着拍卖市场化开放程度的提高，来自网络、科技、文化、汽车、电子商务、工程建设等领域的专业化企业将逐步成为拍卖业务新的增长点，佣金水平也将随着服务理念的转变、服务效果的提升得以带动增长。</w:t>
      </w:r>
    </w:p>
    <w:p/>
    <w:p>
      <w:pPr>
        <w:pStyle w:val="2"/>
        <w:keepNext w:val="0"/>
        <w:keepLines w:val="0"/>
        <w:widowControl/>
        <w:suppressLineNumbers w:val="0"/>
        <w:pBdr>
          <w:top w:val="none" w:color="auto" w:sz="0" w:space="0"/>
          <w:left w:val="none" w:color="auto" w:sz="0" w:space="0"/>
          <w:bottom w:val="single" w:color="D8D8D8" w:sz="12" w:space="15"/>
          <w:right w:val="none" w:color="auto" w:sz="0" w:space="0"/>
        </w:pBdr>
        <w:spacing w:before="0" w:beforeAutospacing="0" w:after="0" w:afterAutospacing="0"/>
        <w:ind w:left="0" w:right="0" w:firstLine="0"/>
        <w:jc w:val="center"/>
        <w:rPr>
          <w:rFonts w:ascii="Helvetica" w:hAnsi="Helvetica" w:eastAsia="Helvetica" w:cs="Helvetica"/>
          <w:i w:val="0"/>
          <w:caps w:val="0"/>
          <w:color w:val="333333"/>
          <w:spacing w:val="0"/>
          <w:sz w:val="33"/>
          <w:szCs w:val="33"/>
          <w:u w:val="none"/>
        </w:rPr>
      </w:pPr>
      <w:r>
        <w:rPr>
          <w:rFonts w:hint="default" w:ascii="Helvetica" w:hAnsi="Helvetica" w:eastAsia="Helvetica" w:cs="Helvetica"/>
          <w:i w:val="0"/>
          <w:caps w:val="0"/>
          <w:color w:val="333333"/>
          <w:spacing w:val="0"/>
          <w:sz w:val="33"/>
          <w:szCs w:val="33"/>
          <w:u w:val="none"/>
          <w:bdr w:val="none" w:color="auto" w:sz="0" w:space="0"/>
        </w:rPr>
        <w:t>拍卖行业复工复拍节奏加快 网络拍卖比例增长</w:t>
      </w:r>
    </w:p>
    <w:p>
      <w:pPr>
        <w:ind w:firstLine="560" w:firstLineChars="200"/>
        <w:jc w:val="left"/>
        <w:rPr>
          <w:rFonts w:hint="eastAsia" w:ascii="宋体" w:hAnsi="宋体" w:eastAsia="宋体" w:cs="宋体"/>
          <w:sz w:val="28"/>
          <w:szCs w:val="28"/>
        </w:rPr>
      </w:pP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受新冠肺炎疫情影响，上半年，全国各地拍卖活动出现不同程度的业务延迟或取消，但与此同时，行业积极调整、主动应对，基本稳住了经营基本面。业内人士预计，再经过一个季度左右，行业经营将有望恢复至去年同期水平。</w:t>
      </w:r>
    </w:p>
    <w:p>
      <w:pPr>
        <w:jc w:val="left"/>
        <w:rPr>
          <w:rFonts w:hint="eastAsia" w:ascii="宋体" w:hAnsi="宋体" w:eastAsia="宋体" w:cs="宋体"/>
          <w:sz w:val="28"/>
          <w:szCs w:val="28"/>
        </w:rPr>
      </w:pPr>
      <w:r>
        <w:rPr>
          <w:rFonts w:hint="eastAsia" w:ascii="宋体" w:hAnsi="宋体" w:eastAsia="宋体" w:cs="宋体"/>
          <w:sz w:val="28"/>
          <w:szCs w:val="28"/>
        </w:rPr>
        <w:t>  日前，中国拍卖行业协会发布数据显示，截至6月底，全国31个省（区、市）及新疆生产建设兵团共有拍卖企业8300家，比去年同期增加685家；拍卖分支机构260家，与去年同期持平；注册执业的拍卖师11680人。</w:t>
      </w:r>
    </w:p>
    <w:p>
      <w:pPr>
        <w:jc w:val="left"/>
        <w:rPr>
          <w:rFonts w:hint="eastAsia" w:ascii="宋体" w:hAnsi="宋体" w:eastAsia="宋体" w:cs="宋体"/>
          <w:sz w:val="28"/>
          <w:szCs w:val="28"/>
        </w:rPr>
      </w:pPr>
      <w:r>
        <w:rPr>
          <w:rFonts w:hint="eastAsia" w:ascii="宋体" w:hAnsi="宋体" w:eastAsia="宋体" w:cs="宋体"/>
          <w:sz w:val="28"/>
          <w:szCs w:val="28"/>
        </w:rPr>
        <w:t>  据商务部全国拍卖统一业务平台统计，1-6月，拍卖总成交额2812.06亿元，同比下降2.22%。其中，一季度成交额879.86亿元，同比下降22.86%；得益于疫情有效控制和企业复工复拍节奏加快，二季度成交额出现补涨，成交额1932.19亿元，同比增长11.34%，环比一季度增幅高达119.6%。值得一提的是，上半年，机动车拍卖成交额80.03亿元，同比增长27.42%，延续了去年同期的高速增长趋势。</w:t>
      </w:r>
    </w:p>
    <w:p>
      <w:pPr>
        <w:jc w:val="left"/>
        <w:rPr>
          <w:rFonts w:hint="eastAsia" w:ascii="宋体" w:hAnsi="宋体" w:eastAsia="宋体" w:cs="宋体"/>
          <w:sz w:val="28"/>
          <w:szCs w:val="28"/>
        </w:rPr>
      </w:pPr>
      <w:r>
        <w:rPr>
          <w:rFonts w:hint="eastAsia" w:ascii="宋体" w:hAnsi="宋体" w:eastAsia="宋体" w:cs="宋体"/>
          <w:sz w:val="28"/>
          <w:szCs w:val="28"/>
        </w:rPr>
        <w:t>  从省市分布来看，上半年，拍卖成交额超过200亿元的有河北省、福建省、四川省和安徽省，其中，河北省成交额598.99亿元。上述四省拍卖成交额占全国总成交额的57.87%，比去年同期提高了10个百分点。</w:t>
      </w:r>
    </w:p>
    <w:p>
      <w:pPr>
        <w:jc w:val="left"/>
        <w:rPr>
          <w:rFonts w:hint="eastAsia" w:ascii="宋体" w:hAnsi="宋体" w:eastAsia="宋体" w:cs="宋体"/>
          <w:sz w:val="28"/>
          <w:szCs w:val="28"/>
        </w:rPr>
      </w:pPr>
      <w:r>
        <w:rPr>
          <w:rFonts w:hint="eastAsia" w:ascii="宋体" w:hAnsi="宋体" w:eastAsia="宋体" w:cs="宋体"/>
          <w:sz w:val="28"/>
          <w:szCs w:val="28"/>
        </w:rPr>
        <w:t>  从地域分布来看，成交主要分布在京津冀、长三角、珠三角及东南沿海其它经济发达地区，约占行业总业务量的70%。与此同时，中、西部地区业务量在上半年也有了一定突破，如四川省、湖北省、甘肃省、云南省等地的拍卖业务规模在行业中占比增长较明显。</w:t>
      </w:r>
    </w:p>
    <w:p>
      <w:pPr>
        <w:jc w:val="left"/>
        <w:rPr>
          <w:rFonts w:hint="eastAsia" w:ascii="宋体" w:hAnsi="宋体" w:eastAsia="宋体" w:cs="宋体"/>
          <w:sz w:val="28"/>
          <w:szCs w:val="28"/>
        </w:rPr>
      </w:pPr>
      <w:r>
        <w:rPr>
          <w:rFonts w:hint="eastAsia" w:ascii="宋体" w:hAnsi="宋体" w:eastAsia="宋体" w:cs="宋体"/>
          <w:sz w:val="28"/>
          <w:szCs w:val="28"/>
        </w:rPr>
        <w:t>  此外，受疫情影响，多数拍卖企业开始投入更多精力开展网络拍卖活动，带动上半年拍卖场次不降反增，共计成交41072场，同比去年增长35.11%。</w:t>
      </w:r>
    </w:p>
    <w:p>
      <w:pPr>
        <w:jc w:val="left"/>
        <w:rPr>
          <w:rFonts w:hint="eastAsia" w:ascii="宋体" w:hAnsi="宋体" w:eastAsia="宋体" w:cs="宋体"/>
          <w:sz w:val="28"/>
          <w:szCs w:val="28"/>
        </w:rPr>
      </w:pPr>
      <w:r>
        <w:rPr>
          <w:rFonts w:hint="eastAsia" w:ascii="宋体" w:hAnsi="宋体" w:eastAsia="宋体" w:cs="宋体"/>
          <w:sz w:val="28"/>
          <w:szCs w:val="28"/>
        </w:rPr>
        <w:t>  中国拍卖行业协会相关负责人表示，疫情之下，拍卖企业正遭遇诸多困难，但同时也面临着新的资产配置交易需求增加和疫后传统流通产业链升级的新机遇。因此，企业应在经营和服务理念、业务模式、营销手段、监管自律等多个方面迅速提升，以适应复杂多变的营商环境。</w:t>
      </w:r>
    </w:p>
    <w:p>
      <w:pPr>
        <w:jc w:val="left"/>
        <w:rPr>
          <w:rFonts w:hint="eastAsia" w:ascii="宋体" w:hAnsi="宋体" w:eastAsia="宋体" w:cs="宋体"/>
          <w:sz w:val="28"/>
          <w:szCs w:val="28"/>
        </w:rPr>
      </w:pPr>
      <w:r>
        <w:rPr>
          <w:rFonts w:hint="eastAsia" w:ascii="宋体" w:hAnsi="宋体" w:eastAsia="宋体" w:cs="宋体"/>
          <w:sz w:val="28"/>
          <w:szCs w:val="28"/>
        </w:rPr>
        <w:t xml:space="preserve">  该负责人还表示，未来，随着拍卖市场化开放程度的提高，来自网络、科技、文化、汽车、电子商务、工程建设等领域的专业化企业将逐步成为拍卖业务新的增长点，佣金水平也将随着服务理念的转变、服务质量的提升逐步提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宋体" w:hAnsi="宋体" w:eastAsia="宋体" w:cs="宋体"/>
          <w:b/>
          <w:i w:val="0"/>
          <w:caps w:val="0"/>
          <w:color w:val="333333"/>
          <w:spacing w:val="8"/>
          <w:kern w:val="0"/>
          <w:sz w:val="36"/>
          <w:szCs w:val="36"/>
          <w:bdr w:val="none" w:color="auto" w:sz="0" w:space="0"/>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宋体" w:hAnsi="宋体" w:eastAsia="宋体" w:cs="宋体"/>
          <w:b/>
          <w:i w:val="0"/>
          <w:caps w:val="0"/>
          <w:color w:val="333333"/>
          <w:spacing w:val="8"/>
          <w:kern w:val="0"/>
          <w:sz w:val="36"/>
          <w:szCs w:val="36"/>
          <w:bdr w:val="none" w:color="auto" w:sz="0" w:space="0"/>
          <w:shd w:val="clear" w:fill="FFFFFF"/>
          <w:lang w:val="en-US" w:eastAsia="zh-CN" w:bidi="ar"/>
        </w:rPr>
      </w:pPr>
      <w:r>
        <w:rPr>
          <w:rFonts w:hint="eastAsia" w:ascii="宋体" w:hAnsi="宋体" w:eastAsia="宋体" w:cs="宋体"/>
          <w:b/>
          <w:i w:val="0"/>
          <w:caps w:val="0"/>
          <w:color w:val="333333"/>
          <w:spacing w:val="8"/>
          <w:kern w:val="0"/>
          <w:sz w:val="36"/>
          <w:szCs w:val="36"/>
          <w:bdr w:val="none" w:color="auto" w:sz="0" w:space="0"/>
          <w:shd w:val="clear" w:fill="FFFFFF"/>
          <w:lang w:val="en-US" w:eastAsia="zh-CN" w:bidi="ar"/>
        </w:rPr>
        <w:t>关于举办全国拍卖师大赛内蒙古预选赛的通知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95"/>
        <w:jc w:val="both"/>
        <w:rPr>
          <w:rFonts w:hint="eastAsia" w:ascii="宋体" w:hAnsi="宋体" w:eastAsia="宋体" w:cs="宋体"/>
          <w:b/>
          <w:i w:val="0"/>
          <w:caps w:val="0"/>
          <w:color w:val="333333"/>
          <w:spacing w:val="8"/>
          <w:kern w:val="0"/>
          <w:sz w:val="32"/>
          <w:szCs w:val="32"/>
          <w:bdr w:val="none" w:color="auto" w:sz="0" w:space="0"/>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各会员企业以及各位拍卖师：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根据中国拍卖行业协会发出的《关于举办“第五届全国拍卖师竞赛”的通知》要求，内蒙古拍协经研究，决定采取“视频参赛、专家评选”的形式组织自治区内预赛。具体要求和相关事宜如下：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一、参赛报名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1、报名条件：凡在内蒙古拍卖行业协会企业注册的、具有国家注册拍卖师有效证书且在正常执业中的、未出现过违规违纪行为的拍卖师均可报名；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2、报名材料：两寸免冠证件近照（电子版）及《参赛人员报名表》（详见附件1）；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3、报名截止时间：2020年8月9日。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二、参赛视频制作及报送：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1、视频内容：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A、自我介绍；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b、快速报价，采取250或258方式自选一种；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c、模拟主持，按抽选的题目进行(抽选题目见附件3）。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2、视频制作要求：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a、连续拍摄一次完成，不得进行剪切、优化；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b、着正装，衣着整洁，举止大方利落，不画浓妆；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c、视频长度不超过10分钟。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3、参赛视频报送截止时间：2020年8月14日。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三、审核选拔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2" w:firstLineChars="20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内蒙古拍协组织专家对参赛视频进行审核评选，审核时间：8月14日至8月28日。审核评选结果公示于9月4日前公布。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四、奖项设计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1、金槌奖1名、银槌奖2名、铜槌奖3名、鼓励奖6名；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2、获奖选手均列入内蒙古自治区优秀拍卖师队伍，作为自治区拍协各种拍卖活动以及慈善拍卖主持人优选库推荐的专业人才；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3、为鼓励拍卖师积极参与，凡参赛选手均有奖品；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五、强化培训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40" w:firstLineChars="25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内蒙古拍协将在10月份对获得金、银、铜奖人员集中强化培训，从中选拔确定参加全国拍卖师大赛的选手。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六、联系人及咨询电话：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联系人：娜 晴、宋冠楠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 xml:space="preserve">电  话：0471-6935861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 xml:space="preserve">                  内蒙古拍卖行业协会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333333"/>
          <w:spacing w:val="8"/>
          <w:kern w:val="0"/>
          <w:sz w:val="28"/>
          <w:szCs w:val="28"/>
          <w:bdr w:val="none" w:color="auto" w:sz="0" w:space="0"/>
        </w:rPr>
      </w:pPr>
      <w:r>
        <w:rPr>
          <w:rFonts w:hint="eastAsia" w:ascii="宋体" w:hAnsi="宋体" w:eastAsia="宋体" w:cs="宋体"/>
          <w:b w:val="0"/>
          <w:i w:val="0"/>
          <w:caps w:val="0"/>
          <w:color w:val="333333"/>
          <w:spacing w:val="8"/>
          <w:kern w:val="0"/>
          <w:sz w:val="28"/>
          <w:szCs w:val="28"/>
          <w:bdr w:val="none" w:color="auto" w:sz="0" w:space="0"/>
          <w:shd w:val="clear" w:fill="FFFFFF"/>
          <w:lang w:val="en-US" w:eastAsia="zh-CN" w:bidi="ar"/>
        </w:rPr>
        <w:t xml:space="preserve">                   2020年7月22日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jc w:val="center"/>
        <w:textAlignment w:val="auto"/>
        <w:rPr>
          <w:rFonts w:hint="eastAsia" w:ascii="宋体" w:hAnsi="宋体" w:eastAsia="宋体" w:cs="宋体"/>
          <w:b/>
          <w:bCs w:val="0"/>
          <w:kern w:val="2"/>
          <w:sz w:val="36"/>
          <w:szCs w:val="36"/>
          <w:lang w:val="en-US" w:eastAsia="zh-CN" w:bidi="ar"/>
        </w:rPr>
      </w:pPr>
      <w:r>
        <w:rPr>
          <w:rFonts w:hint="eastAsia" w:ascii="宋体" w:hAnsi="宋体" w:eastAsia="宋体" w:cs="宋体"/>
          <w:b/>
          <w:bCs w:val="0"/>
          <w:kern w:val="2"/>
          <w:sz w:val="36"/>
          <w:szCs w:val="36"/>
          <w:lang w:val="en-US" w:eastAsia="zh-CN" w:bidi="ar"/>
        </w:rPr>
        <w:t>关于开展2020年度内蒙古拍卖企业信用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exact"/>
        <w:ind w:left="0" w:right="0"/>
        <w:jc w:val="center"/>
        <w:textAlignment w:val="auto"/>
        <w:rPr>
          <w:rFonts w:hint="eastAsia" w:ascii="宋体" w:hAnsi="宋体" w:eastAsia="宋体" w:cs="宋体"/>
          <w:b w:val="0"/>
          <w:bCs/>
          <w:sz w:val="28"/>
          <w:szCs w:val="28"/>
        </w:rPr>
      </w:pPr>
      <w:r>
        <w:rPr>
          <w:rFonts w:hint="eastAsia" w:ascii="宋体" w:hAnsi="宋体" w:eastAsia="宋体" w:cs="宋体"/>
          <w:b/>
          <w:bCs w:val="0"/>
          <w:kern w:val="2"/>
          <w:sz w:val="36"/>
          <w:szCs w:val="36"/>
          <w:lang w:val="en-US" w:eastAsia="zh-CN" w:bidi="ar"/>
        </w:rPr>
        <w:t>等级评定工作的通知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837" w:firstLineChars="299"/>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根据内蒙古拍卖行业协会关于拍卖企业信用等级评估管理的有关规定，经研究，定于今年8-9月份，为有参评需要的拍卖企业组织开展等级评估工作。现将2020年拍卖企业等级评估工作相关安排通知如下：</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一、申报条件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具有以下情形之一的企业不具备信用等级参评资格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1、主体资格不符合《拍卖法》、《公司法》规定条件；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2、企业或法人有刑事犯罪记录；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3、企业或法人被列入人民法院失信名单；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rPr>
        <w:t>4、成立时间不满两年的公司；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二、评估原则</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（一）坚持自愿参加。</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（二）坚持免费评估。</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（三）坚持严格的评估标准。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（四）坚持现场核查。特别是对达到AA—AAAAA级信用等级的候选拍卖企业，内蒙古拍协将配合财务审计单位进行随机现场核查。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（五）坚持为参评企业保密。对参评企业的申评资格和申报材料进行严格保密。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三、工作程序</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（一）企业申报；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（二）评分；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由内蒙古拍协信用等级评估小组或者聘请第三方评审机构根据企业申报材料进行评估。</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（三）核查；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由内蒙古拍协等级评估小组对拟评AA—AAAAA级企业进行随机现场核查；被核查企业由内拍协随机抽取。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（四）确定评估结果；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内蒙古拍协根据反馈意见及核查的情况确定评估结果。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（五）公示</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2020年10月15日前会在相关平面和网络媒体、内蒙古拍卖行业协会网站及公众号上，将评估结果进行公示。</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（六）将结果送达至各相关机构和部门。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四、评定办法和申报条件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根据行业实际，对本次新申报参加评定的企业，采用“初评”办法，企业按照“初评”要求报送申报材料，评定委员会安排随机现场核查、评审。主要对企业在2018-2019年度两年中相关内容的各项指标进行考评，并以2020年度有关指标作为参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五、有关情况说明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（一）本次信用等级的评估为：A级、AA级、AAA级、AAAA级、AAAAA级。A数越多，信用等级越高，最高五级。</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（二）凡获得内蒙古信用等级评估级别的企业，内蒙古拍卖行业协会将按照程序上报；同时，将评估结果报送自治区内各级政府和内蒙古商务厅、内蒙古工商局及内蒙古自治区公共资源交易平台。</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1、所有资料如不能给我们原件，请提供复印件加盖公章，并准备好原件供查阅。</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2、AAAAA级拍卖企业综合得分最低限为90分（含）。</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3、AAAA级拍卖企业综合得分最低限为80分（含）。</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4、AAA级拍卖企业综合得分最低限为70分（含）。</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5、AA级拍卖企业综合得分最低限为60分（含）。</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leftChars="0" w:right="0" w:firstLine="420" w:firstLineChars="150"/>
        <w:jc w:val="lef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6、A级拍卖企业综合得分最低限为50分（含）。</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40" w:lineRule="exact"/>
        <w:ind w:left="0" w:leftChars="0" w:right="561" w:firstLine="420" w:firstLineChars="150"/>
        <w:jc w:val="right"/>
        <w:textAlignment w:val="auto"/>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 xml:space="preserve">         内蒙古拍卖行业协会</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40" w:lineRule="exact"/>
        <w:ind w:left="0" w:leftChars="0" w:right="561" w:firstLine="420" w:firstLineChars="150"/>
        <w:jc w:val="right"/>
        <w:textAlignment w:val="auto"/>
        <w:rPr>
          <w:rFonts w:hint="eastAsia" w:ascii="宋体" w:hAnsi="宋体" w:eastAsia="宋体" w:cs="宋体"/>
          <w:b w:val="0"/>
          <w:bCs/>
          <w:sz w:val="28"/>
          <w:szCs w:val="28"/>
        </w:rPr>
      </w:pPr>
      <w:r>
        <w:rPr>
          <w:rFonts w:hint="eastAsia" w:ascii="宋体" w:hAnsi="宋体" w:eastAsia="宋体" w:cs="宋体"/>
          <w:b w:val="0"/>
          <w:bCs/>
          <w:kern w:val="2"/>
          <w:sz w:val="28"/>
          <w:szCs w:val="28"/>
          <w:lang w:val="en-US" w:eastAsia="zh-CN" w:bidi="ar"/>
        </w:rPr>
        <w:t xml:space="preserve">     2020年8月6日</w:t>
      </w:r>
    </w:p>
    <w:p>
      <w:pPr>
        <w:ind w:left="0" w:leftChars="0" w:firstLine="420" w:firstLineChars="150"/>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font-size:18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20F1"/>
    <w:multiLevelType w:val="multilevel"/>
    <w:tmpl w:val="3CBB20F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65303"/>
    <w:rsid w:val="77C6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Medium Grid 3 Accent 1"/>
    <w:basedOn w:val="5"/>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character" w:styleId="8">
    <w:name w:val="Strong"/>
    <w:basedOn w:val="7"/>
    <w:qFormat/>
    <w:uiPriority w:val="0"/>
    <w:rPr>
      <w:b/>
    </w:rPr>
  </w:style>
  <w:style w:type="character" w:styleId="9">
    <w:name w:val="FollowedHyperlink"/>
    <w:basedOn w:val="7"/>
    <w:uiPriority w:val="0"/>
    <w:rPr>
      <w:rFonts w:hint="eastAsia" w:ascii="宋体" w:hAnsi="宋体" w:eastAsia="宋体" w:cs="宋体"/>
      <w:color w:val="800080"/>
      <w:sz w:val="18"/>
      <w:szCs w:val="18"/>
      <w:u w:val="single"/>
    </w:rPr>
  </w:style>
  <w:style w:type="character" w:styleId="10">
    <w:name w:val="Hyperlink"/>
    <w:basedOn w:val="7"/>
    <w:uiPriority w:val="0"/>
    <w:rPr>
      <w:rFonts w:hint="eastAsia" w:ascii="宋体" w:hAnsi="宋体" w:eastAsia="宋体" w:cs="宋体"/>
      <w:color w:val="0000FF"/>
      <w:sz w:val="18"/>
      <w:szCs w:val="18"/>
      <w:u w:val="single"/>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file:///G:\02-&#34892;&#19994;&#32479;&#35745;&#65288;&#34013;&#30382;&#20070;&#65289;\2020&#24180;\6&#26376;&#65288;&#19978;&#21322;&#24180;&#65289;\&#20323;&#37329;&#24773;&#2091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stacked"/>
        <c:varyColors val="0"/>
        <c:ser>
          <c:idx val="0"/>
          <c:order val="0"/>
          <c:tx>
            <c:strRef>
              <c:f>Sheet1!$B$1</c:f>
              <c:strCache>
                <c:ptCount val="1"/>
                <c:pt idx="0">
                  <c:v>列1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2015年</c:v>
                </c:pt>
                <c:pt idx="1">
                  <c:v>2016年</c:v>
                </c:pt>
                <c:pt idx="2">
                  <c:v>2017年</c:v>
                </c:pt>
                <c:pt idx="3">
                  <c:v>2018年</c:v>
                </c:pt>
                <c:pt idx="4">
                  <c:v>2019年</c:v>
                </c:pt>
                <c:pt idx="5">
                  <c:v>2020年</c:v>
                </c:pt>
              </c:strCache>
            </c:strRef>
          </c:cat>
          <c:val>
            <c:numRef>
              <c:f>Sheet1!$B$2:$B$7</c:f>
              <c:numCache>
                <c:formatCode>General</c:formatCode>
                <c:ptCount val="6"/>
                <c:pt idx="0">
                  <c:v>1799.42</c:v>
                </c:pt>
                <c:pt idx="1">
                  <c:v>1852.03</c:v>
                </c:pt>
                <c:pt idx="2">
                  <c:v>3103.19</c:v>
                </c:pt>
                <c:pt idx="3">
                  <c:v>2880.1</c:v>
                </c:pt>
                <c:pt idx="4">
                  <c:v>2876</c:v>
                </c:pt>
                <c:pt idx="5">
                  <c:v>2812.06</c:v>
                </c:pt>
              </c:numCache>
            </c:numRef>
          </c:val>
        </c:ser>
        <c:dLbls>
          <c:showLegendKey val="0"/>
          <c:showVal val="1"/>
          <c:showCatName val="0"/>
          <c:showSerName val="0"/>
          <c:showPercent val="0"/>
          <c:showBubbleSize val="0"/>
        </c:dLbls>
        <c:gapWidth val="150"/>
        <c:overlap val="100"/>
        <c:axId val="330981376"/>
        <c:axId val="330983296"/>
      </c:barChart>
      <c:catAx>
        <c:axId val="3309813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330983296"/>
        <c:crosses val="autoZero"/>
        <c:auto val="1"/>
        <c:lblAlgn val="ctr"/>
        <c:lblOffset val="100"/>
        <c:noMultiLvlLbl val="0"/>
      </c:catAx>
      <c:valAx>
        <c:axId val="330983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330981376"/>
        <c:crosses val="autoZero"/>
        <c:crossBetween val="between"/>
      </c:valAx>
      <c:spPr>
        <a:solidFill>
          <a:schemeClr val="dk1">
            <a:tint val="20000"/>
          </a:schemeClr>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tx>
            <c:strRef>
              <c:f>Sheet1!$B$1</c:f>
              <c:strCache>
                <c:ptCount val="1"/>
                <c:pt idx="0">
                  <c:v>列1</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Sheet1!$A$2:$A$9</c:f>
              <c:strCache>
                <c:ptCount val="8"/>
                <c:pt idx="0">
                  <c:v>房地产</c:v>
                </c:pt>
                <c:pt idx="1">
                  <c:v>土地使用权</c:v>
                </c:pt>
                <c:pt idx="2">
                  <c:v>机动车</c:v>
                </c:pt>
                <c:pt idx="3">
                  <c:v>农副产品</c:v>
                </c:pt>
                <c:pt idx="4">
                  <c:v>股权债权</c:v>
                </c:pt>
                <c:pt idx="5">
                  <c:v>无形资产</c:v>
                </c:pt>
                <c:pt idx="6">
                  <c:v>文物艺术品</c:v>
                </c:pt>
                <c:pt idx="7">
                  <c:v>其他</c:v>
                </c:pt>
              </c:strCache>
            </c:strRef>
          </c:cat>
          <c:val>
            <c:numRef>
              <c:f>Sheet1!$B$2:$B$9</c:f>
              <c:numCache>
                <c:formatCode>General</c:formatCode>
                <c:ptCount val="8"/>
                <c:pt idx="0">
                  <c:v>3.96</c:v>
                </c:pt>
                <c:pt idx="1">
                  <c:v>3.44</c:v>
                </c:pt>
                <c:pt idx="2">
                  <c:v>2.66</c:v>
                </c:pt>
                <c:pt idx="3">
                  <c:v>0.47</c:v>
                </c:pt>
                <c:pt idx="4">
                  <c:v>0.91</c:v>
                </c:pt>
                <c:pt idx="5">
                  <c:v>0.48</c:v>
                </c:pt>
                <c:pt idx="6">
                  <c:v>0</c:v>
                </c:pt>
                <c:pt idx="7">
                  <c:v>3.53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094270223143"/>
          <c:y val="0.100455862716532"/>
          <c:w val="0.716883815128646"/>
          <c:h val="0.636425277469417"/>
        </c:manualLayout>
      </c:layout>
      <c:lineChart>
        <c:grouping val="standard"/>
        <c:varyColors val="0"/>
        <c:ser>
          <c:idx val="0"/>
          <c:order val="0"/>
          <c:tx>
            <c:strRef>
              <c:f>Sheet1!$D$7</c:f>
              <c:strCache>
                <c:ptCount val="1"/>
                <c:pt idx="0">
                  <c:v>佣金率</c:v>
                </c:pt>
              </c:strCache>
            </c:strRef>
          </c:tx>
          <c:dLbls>
            <c:dLbl>
              <c:idx val="0"/>
              <c:layout>
                <c:manualLayout>
                  <c:x val="-0.0529239208420747"/>
                  <c:y val="-0.02896343866175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21511411419593"/>
                  <c:y val="-0.03253805986449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0035056171612"/>
                  <c:y val="-0.03611268106722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21511411419593"/>
                  <c:y val="0.03895436419028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44694802423054"/>
                  <c:y val="0.03180512178481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72377371513682"/>
                  <c:y val="-0.02181419625627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83103106921324"/>
                  <c:y val="0.03537974298755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Sheet1!$E$6:$L$6</c:f>
              <c:strCache>
                <c:ptCount val="8"/>
                <c:pt idx="0">
                  <c:v>房地产</c:v>
                </c:pt>
                <c:pt idx="1">
                  <c:v>土地使用权</c:v>
                </c:pt>
                <c:pt idx="2">
                  <c:v>机动车</c:v>
                </c:pt>
                <c:pt idx="3">
                  <c:v>农副产品</c:v>
                </c:pt>
                <c:pt idx="4">
                  <c:v>股权、债权、产权</c:v>
                </c:pt>
                <c:pt idx="5">
                  <c:v>无形资产</c:v>
                </c:pt>
                <c:pt idx="6">
                  <c:v>文物艺术品</c:v>
                </c:pt>
                <c:pt idx="7">
                  <c:v>其他</c:v>
                </c:pt>
              </c:strCache>
            </c:strRef>
          </c:cat>
          <c:val>
            <c:numRef>
              <c:f>Sheet1!$E$7:$L$7</c:f>
              <c:numCache>
                <c:formatCode>0.00%</c:formatCode>
                <c:ptCount val="8"/>
                <c:pt idx="0">
                  <c:v>0.0093</c:v>
                </c:pt>
                <c:pt idx="1">
                  <c:v>0.0019</c:v>
                </c:pt>
                <c:pt idx="2">
                  <c:v>0.0332</c:v>
                </c:pt>
                <c:pt idx="3">
                  <c:v>0.0388</c:v>
                </c:pt>
                <c:pt idx="4">
                  <c:v>0.005</c:v>
                </c:pt>
                <c:pt idx="5">
                  <c:v>0.0039</c:v>
                </c:pt>
                <c:pt idx="6">
                  <c:v>0.1308</c:v>
                </c:pt>
                <c:pt idx="7">
                  <c:v>0.0177</c:v>
                </c:pt>
              </c:numCache>
            </c:numRef>
          </c:val>
          <c:smooth val="0"/>
        </c:ser>
        <c:dLbls>
          <c:showLegendKey val="0"/>
          <c:showVal val="1"/>
          <c:showCatName val="0"/>
          <c:showSerName val="0"/>
          <c:showPercent val="0"/>
          <c:showBubbleSize val="0"/>
        </c:dLbls>
        <c:marker val="1"/>
        <c:smooth val="0"/>
        <c:axId val="136792704"/>
        <c:axId val="136806784"/>
      </c:lineChart>
      <c:catAx>
        <c:axId val="1367927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806784"/>
        <c:crosses val="autoZero"/>
        <c:auto val="1"/>
        <c:lblAlgn val="ctr"/>
        <c:lblOffset val="100"/>
        <c:noMultiLvlLbl val="0"/>
      </c:catAx>
      <c:valAx>
        <c:axId val="136806784"/>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7927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2020-11-26T06:08:00Z</dcterms:created>
  <dc:creator>楠楠</dc:creator>
  <cp:lastModifiedBy>楠楠</cp:lastModifiedBy>
  <dcterms:modified xsi:type="dcterms:W3CDTF">2020-11-26T07:20:14Z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