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6" w:lineRule="atLeast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拍卖企业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信用</w:t>
      </w:r>
      <w:r>
        <w:rPr>
          <w:rFonts w:hint="eastAsia" w:ascii="宋体" w:hAnsi="宋体" w:cs="宋体"/>
          <w:b/>
          <w:kern w:val="0"/>
          <w:sz w:val="36"/>
          <w:szCs w:val="36"/>
        </w:rPr>
        <w:t>等级评估复评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、升级</w:t>
      </w:r>
      <w:r>
        <w:rPr>
          <w:rFonts w:hint="eastAsia" w:ascii="宋体" w:hAnsi="宋体" w:cs="宋体"/>
          <w:b/>
          <w:kern w:val="0"/>
          <w:sz w:val="36"/>
          <w:szCs w:val="36"/>
        </w:rPr>
        <w:t>实施办法</w:t>
      </w:r>
    </w:p>
    <w:p>
      <w:pPr>
        <w:widowControl/>
        <w:spacing w:line="336" w:lineRule="atLeas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spacing w:line="336" w:lineRule="atLeast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、拍卖企业等级评估的复评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升级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是指对已获得的企业等级，在证书有效期满前，进行的保级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、升级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评定。</w:t>
      </w:r>
    </w:p>
    <w:p>
      <w:pPr>
        <w:widowControl/>
        <w:spacing w:line="336" w:lineRule="atLeast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、复评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、升级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应自上次获得评估等级证书时间起计，每2年进行一次。复评应提出书面申请。  </w:t>
      </w:r>
    </w:p>
    <w:p>
      <w:pPr>
        <w:widowControl/>
        <w:spacing w:line="336" w:lineRule="atLeast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、企业应提交《拍卖企业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信用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等级评估复评申请》（以下简称《复评信息表》）及有关材料申请复评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或者升级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。</w:t>
      </w:r>
    </w:p>
    <w:p>
      <w:pPr>
        <w:widowControl/>
        <w:spacing w:line="336" w:lineRule="atLeast"/>
        <w:ind w:left="559" w:leftChars="266" w:firstLine="0" w:firstLineChars="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、复评应按照各等级级别不低于10%的比例进行抽查复审。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、评估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委员会随机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抽查复审的企业名单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、有下列情形之一的，进入现场核查程序：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（一）在商务部“全国拍卖业务系统统一平台”上不能查寻到企业相关信息和经营数据的；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（二）企业经营发生重大变化的；</w:t>
      </w:r>
    </w:p>
    <w:p>
      <w:pPr>
        <w:ind w:left="560" w:hanging="560" w:hanging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（三）评委会认为有必要现场核查的。</w:t>
      </w:r>
    </w:p>
    <w:p>
      <w:pPr>
        <w:ind w:left="19" w:leftChars="9" w:firstLine="537" w:firstLineChars="192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、拍卖企业通过复评维持评估等级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或升级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后，由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内蒙古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拍卖行业协会予以公示、公告。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、进入复评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、升级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名单的拍卖企业，逾期未提交材料或未书面申请延期的，将视为自动放弃企业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信用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等级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评估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、本实施办法由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内蒙古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拍卖行业协会拍卖企业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信用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等级评估委员会负责解释。</w:t>
      </w:r>
    </w:p>
    <w:p>
      <w:pP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附件：拍卖企业等级评估《复评申请表》</w:t>
      </w:r>
    </w:p>
    <w:p>
      <w:pPr>
        <w:pStyle w:val="4"/>
        <w:jc w:val="left"/>
        <w:rPr>
          <w:rFonts w:ascii="宋体-18030" w:hAnsi="宋体-18030" w:eastAsia="宋体-18030" w:cs="宋体-18030"/>
          <w:b w:val="0"/>
          <w:bCs w:val="0"/>
        </w:rPr>
      </w:pPr>
      <w:r>
        <w:rPr>
          <w:rFonts w:hint="eastAsia" w:ascii="宋体-18030" w:hAnsi="宋体-18030" w:eastAsia="宋体-18030" w:cs="宋体-18030"/>
          <w:b w:val="0"/>
          <w:bCs w:val="0"/>
        </w:rPr>
        <w:t>附件：</w:t>
      </w:r>
    </w:p>
    <w:p>
      <w:pPr>
        <w:pStyle w:val="4"/>
        <w:jc w:val="center"/>
        <w:rPr>
          <w:rFonts w:ascii="宋体-18030" w:hAnsi="宋体-18030" w:eastAsia="宋体-18030" w:cs="宋体-18030"/>
          <w:sz w:val="36"/>
          <w:szCs w:val="36"/>
        </w:rPr>
      </w:pPr>
      <w:r>
        <w:rPr>
          <w:rFonts w:hint="eastAsia" w:ascii="宋体-18030" w:hAnsi="宋体-18030" w:eastAsia="宋体-18030" w:cs="宋体-18030"/>
          <w:sz w:val="36"/>
          <w:szCs w:val="36"/>
        </w:rPr>
        <w:t>拍卖企业</w:t>
      </w:r>
      <w:r>
        <w:rPr>
          <w:rFonts w:hint="eastAsia" w:ascii="宋体-18030" w:hAnsi="宋体-18030" w:eastAsia="宋体-18030" w:cs="宋体-18030"/>
          <w:sz w:val="36"/>
          <w:szCs w:val="36"/>
          <w:lang w:eastAsia="zh-CN"/>
        </w:rPr>
        <w:t>信用</w:t>
      </w:r>
      <w:r>
        <w:rPr>
          <w:rFonts w:hint="eastAsia" w:ascii="宋体-18030" w:hAnsi="宋体-18030" w:eastAsia="宋体-18030" w:cs="宋体-18030"/>
          <w:sz w:val="36"/>
          <w:szCs w:val="36"/>
        </w:rPr>
        <w:t>等级评估《复评申请表》</w:t>
      </w:r>
    </w:p>
    <w:p>
      <w:pPr>
        <w:pStyle w:val="5"/>
        <w:ind w:firstLine="315"/>
      </w:pPr>
    </w:p>
    <w:tbl>
      <w:tblPr>
        <w:tblStyle w:val="2"/>
        <w:tblW w:w="85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1556"/>
        <w:gridCol w:w="2509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1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拍卖企业名称</w:t>
            </w:r>
          </w:p>
        </w:tc>
        <w:tc>
          <w:tcPr>
            <w:tcW w:w="581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12" w:type="dxa"/>
            <w:noWrap w:val="0"/>
            <w:vAlign w:val="center"/>
          </w:tcPr>
          <w:p>
            <w:pPr>
              <w:pStyle w:val="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评估等级</w:t>
            </w:r>
          </w:p>
        </w:tc>
        <w:tc>
          <w:tcPr>
            <w:tcW w:w="5816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12" w:type="dxa"/>
            <w:noWrap w:val="0"/>
            <w:vAlign w:val="center"/>
          </w:tcPr>
          <w:p>
            <w:pPr>
              <w:pStyle w:val="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法定代表人姓名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09" w:type="dxa"/>
            <w:noWrap w:val="0"/>
            <w:vAlign w:val="center"/>
          </w:tcPr>
          <w:p>
            <w:pPr>
              <w:pStyle w:val="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12" w:type="dxa"/>
            <w:noWrap w:val="0"/>
            <w:vAlign w:val="center"/>
          </w:tcPr>
          <w:p>
            <w:pPr>
              <w:pStyle w:val="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经办人姓名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09" w:type="dxa"/>
            <w:noWrap w:val="0"/>
            <w:vAlign w:val="center"/>
          </w:tcPr>
          <w:p>
            <w:pPr>
              <w:pStyle w:val="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2" w:type="dxa"/>
            <w:noWrap w:val="0"/>
            <w:vAlign w:val="center"/>
          </w:tcPr>
          <w:p>
            <w:pPr>
              <w:pStyle w:val="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申请复评的考核年度</w:t>
            </w:r>
          </w:p>
        </w:tc>
        <w:tc>
          <w:tcPr>
            <w:tcW w:w="5816" w:type="dxa"/>
            <w:gridSpan w:val="3"/>
            <w:noWrap w:val="0"/>
            <w:vAlign w:val="center"/>
          </w:tcPr>
          <w:p>
            <w:pPr>
              <w:pStyle w:val="5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（）年、（）年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8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4"/>
            <w:noWrap w:val="0"/>
            <w:vAlign w:val="top"/>
          </w:tcPr>
          <w:p>
            <w:pPr>
              <w:pStyle w:val="5"/>
              <w:rPr>
                <w:rFonts w:ascii="宋体" w:hAnsi="宋体"/>
                <w:sz w:val="24"/>
              </w:rPr>
            </w:pPr>
          </w:p>
          <w:p>
            <w:pPr>
              <w:pStyle w:val="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等级证书到期复评</w:t>
            </w:r>
          </w:p>
          <w:p>
            <w:pPr>
              <w:pStyle w:val="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企业重组、业务变更须复评</w:t>
            </w:r>
          </w:p>
          <w:p>
            <w:pPr>
              <w:pStyle w:val="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eastAsia="zh-CN"/>
              </w:rPr>
              <w:t>升级变更复评</w:t>
            </w:r>
          </w:p>
          <w:p>
            <w:pPr>
              <w:pStyle w:val="5"/>
              <w:rPr>
                <w:rFonts w:ascii="宋体" w:hAnsi="宋体"/>
                <w:sz w:val="24"/>
                <w:u w:val="single"/>
              </w:rPr>
            </w:pPr>
          </w:p>
          <w:p>
            <w:pPr>
              <w:pStyle w:val="5"/>
              <w:rPr>
                <w:rFonts w:ascii="宋体"/>
                <w:sz w:val="24"/>
              </w:rPr>
            </w:pPr>
          </w:p>
          <w:p>
            <w:pPr>
              <w:pStyle w:val="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exact"/>
        </w:trPr>
        <w:tc>
          <w:tcPr>
            <w:tcW w:w="4268" w:type="dxa"/>
            <w:gridSpan w:val="2"/>
            <w:noWrap w:val="0"/>
            <w:vAlign w:val="top"/>
          </w:tcPr>
          <w:p>
            <w:pPr>
              <w:pStyle w:val="5"/>
              <w:rPr>
                <w:rFonts w:ascii="宋体"/>
                <w:sz w:val="24"/>
              </w:rPr>
            </w:pPr>
          </w:p>
          <w:p>
            <w:pPr>
              <w:pStyle w:val="5"/>
              <w:rPr>
                <w:rFonts w:ascii="宋体" w:hAnsi="宋体"/>
                <w:sz w:val="24"/>
              </w:rPr>
            </w:pPr>
          </w:p>
          <w:p>
            <w:pPr>
              <w:pStyle w:val="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经办人签章：</w:t>
            </w:r>
          </w:p>
          <w:p>
            <w:pPr>
              <w:pStyle w:val="5"/>
              <w:rPr>
                <w:rFonts w:ascii="宋体"/>
                <w:sz w:val="24"/>
              </w:rPr>
            </w:pPr>
          </w:p>
          <w:p>
            <w:pPr>
              <w:pStyle w:val="5"/>
              <w:ind w:firstLine="1320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2224" w:firstLineChars="927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pStyle w:val="5"/>
              <w:rPr>
                <w:rFonts w:ascii="宋体"/>
                <w:sz w:val="24"/>
              </w:rPr>
            </w:pPr>
          </w:p>
          <w:p>
            <w:pPr>
              <w:pStyle w:val="5"/>
              <w:ind w:firstLine="960"/>
              <w:rPr>
                <w:rFonts w:ascii="宋体"/>
                <w:sz w:val="24"/>
              </w:rPr>
            </w:pPr>
          </w:p>
        </w:tc>
        <w:tc>
          <w:tcPr>
            <w:tcW w:w="4260" w:type="dxa"/>
            <w:gridSpan w:val="2"/>
            <w:noWrap w:val="0"/>
            <w:vAlign w:val="top"/>
          </w:tcPr>
          <w:p>
            <w:pPr>
              <w:pStyle w:val="5"/>
              <w:rPr>
                <w:rFonts w:ascii="宋体"/>
                <w:sz w:val="24"/>
              </w:rPr>
            </w:pPr>
          </w:p>
          <w:p>
            <w:pPr>
              <w:pStyle w:val="5"/>
              <w:rPr>
                <w:rFonts w:ascii="宋体" w:hAnsi="宋体"/>
                <w:sz w:val="24"/>
              </w:rPr>
            </w:pPr>
          </w:p>
          <w:p>
            <w:pPr>
              <w:pStyle w:val="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申请企业公章：</w:t>
            </w:r>
          </w:p>
          <w:p>
            <w:pPr>
              <w:pStyle w:val="5"/>
              <w:rPr>
                <w:rFonts w:ascii="宋体"/>
                <w:sz w:val="24"/>
              </w:rPr>
            </w:pPr>
          </w:p>
          <w:p>
            <w:pPr>
              <w:pStyle w:val="5"/>
              <w:rPr>
                <w:rFonts w:ascii="宋体" w:hAnsi="宋体"/>
                <w:sz w:val="24"/>
              </w:rPr>
            </w:pPr>
          </w:p>
          <w:p>
            <w:pPr>
              <w:pStyle w:val="5"/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8528" w:type="dxa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rPr>
                <w:rFonts w:ascii="宋体"/>
                <w:sz w:val="24"/>
              </w:rPr>
            </w:pPr>
          </w:p>
        </w:tc>
      </w:tr>
    </w:tbl>
    <w:p/>
    <w:p>
      <w:pPr>
        <w:jc w:val="center"/>
        <w:rPr>
          <w:rFonts w:ascii="仿宋_GB2312" w:hAnsi="仿宋_GB2312" w:eastAsia="仿宋_GB2312" w:cs="仿宋_GB2312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18030">
    <w:altName w:val="微软雅黑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978CF"/>
    <w:rsid w:val="17AC798F"/>
    <w:rsid w:val="263978CF"/>
    <w:rsid w:val="483340E5"/>
    <w:rsid w:val="6F015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customStyle="1" w:styleId="5">
    <w:name w:val="正文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2020-07-22T01:55:00Z</dcterms:created>
  <dc:creator>楠楠</dc:creator>
  <cp:lastModifiedBy>楠楠</cp:lastModifiedBy>
  <dcterms:modified xsi:type="dcterms:W3CDTF">2020-08-06T05:57:11Z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