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内蒙古拍卖企业信用等级评估申报及评分标准表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4"/>
        <w:gridCol w:w="3333"/>
        <w:gridCol w:w="540"/>
        <w:gridCol w:w="85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333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核查分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24" w:type="dxa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拍卖企业主体合法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100万元以上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拍卖师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3人以上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办公与经营场所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有租赁固定经营办公场所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拥有自有固定办公经营场所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年拍卖成交总额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10万元（含）至100万元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100万元（含）至300万元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300万元（含）至500万元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500万元（含）至1000万元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1000万元（含）至2000万元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2000万元（含）至3000万元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3000万元以上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捐赠（含义拍和捐款）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1000元以下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1000-5000元以上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5000元以上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年拍卖佣金收入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1万元（含）至10万元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10万元（含）至30万元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30万元（含）至50万元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50万元（含）至100万元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100万元（含）以上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年纳税总额（各项税收之和）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5万元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10万元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20万元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20万元以上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年拍卖成交场次，（不含流拍）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拍卖成交场次5次以下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拍卖成交场次5次（含）至10次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拍卖成交场次10次（含）以上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拍卖理论研究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在自治区拍协刊物上刊发过文章，或参加过自治区拍协理论研讨会的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在中拍协或国家相关刊物上刊发过文章，或参加过本行业理论研讨会的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信息化管理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会计电算化、计算机管理拍卖档案，拥有企业网站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管理制度、工作流程与业务规则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基本具备符合业务需要的人事、财务、业务管理制度和符合《拍卖法》及相关法律法规的工作流程、业务规则并按要求上墙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完全具备符合业务需要的人事、财务、业务管理制度和符合《拍卖法》及相关法律法规的工作流程、业务规则并按要求上墙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依法经营规范运作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按照《拍卖法》及相关法律法规组织拍卖活动，企业无不良记录,</w:t>
            </w:r>
          </w:p>
          <w:p>
            <w:r>
              <w:rPr>
                <w:rFonts w:hint="eastAsia"/>
              </w:rPr>
              <w:t>无恶意竞争记录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上年度获得中拍协评估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A级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AA级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AAA级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行业评价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遵守协会章程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按时交纳会费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按时报送统计报表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积极参加协会会议、培训、活动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参加协会专业工作部活动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加入行业自律公约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对协会工作、行业发展有重大贡献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社会评价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法院、检察院无犯罪记录，社会投诉少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国家企业信用信息公示系统http://nm.gsxt.gov.cn/index.html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信用中国系统里有无违规记录http://www.creditchina.gov.cn/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全国拍卖行业管理信息系统</w:t>
            </w:r>
          </w:p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年评估期限内两年报送16个月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年评估期限内两年报送20个月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3333" w:type="dxa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年评估期限内两年报送24个月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分数合计</w:t>
            </w:r>
          </w:p>
        </w:tc>
        <w:tc>
          <w:tcPr>
            <w:tcW w:w="3333" w:type="dxa"/>
            <w:vAlign w:val="center"/>
          </w:tcPr>
          <w:p/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67C3"/>
    <w:rsid w:val="2BC167C3"/>
    <w:rsid w:val="67591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2020-07-10T02:30:00Z</dcterms:created>
  <dc:creator>楠楠</dc:creator>
  <cp:lastModifiedBy>楠楠</cp:lastModifiedBy>
  <dcterms:modified xsi:type="dcterms:W3CDTF">2020-08-05T07:19:12Z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