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DC" w:rsidRDefault="006004DC" w:rsidP="006004DC">
      <w:pPr>
        <w:spacing w:line="360" w:lineRule="auto"/>
        <w:ind w:firstLineChars="200" w:firstLine="600"/>
        <w:rPr>
          <w:rStyle w:val="NormalCharacter"/>
          <w:rFonts w:ascii="Times New Roman" w:eastAsia="黑体" w:hAnsi="Times New Roman"/>
          <w:sz w:val="30"/>
          <w:szCs w:val="30"/>
        </w:rPr>
      </w:pPr>
      <w:r>
        <w:rPr>
          <w:rStyle w:val="NormalCharacter"/>
          <w:rFonts w:ascii="Times New Roman" w:eastAsia="黑体" w:hAnsi="黑体"/>
          <w:sz w:val="30"/>
          <w:szCs w:val="30"/>
        </w:rPr>
        <w:t>附件</w:t>
      </w:r>
      <w:r>
        <w:rPr>
          <w:rStyle w:val="NormalCharacter"/>
          <w:rFonts w:ascii="Times New Roman" w:eastAsia="黑体" w:hAnsi="Times New Roman"/>
          <w:sz w:val="30"/>
          <w:szCs w:val="30"/>
        </w:rPr>
        <w:t>2</w:t>
      </w:r>
      <w:r>
        <w:rPr>
          <w:rStyle w:val="NormalCharacter"/>
          <w:rFonts w:ascii="Times New Roman" w:eastAsia="黑体" w:hAnsi="黑体"/>
          <w:sz w:val="30"/>
          <w:szCs w:val="30"/>
        </w:rPr>
        <w:t>：</w:t>
      </w:r>
    </w:p>
    <w:p w:rsidR="006004DC" w:rsidRDefault="006004DC" w:rsidP="006004DC">
      <w:pPr>
        <w:jc w:val="center"/>
        <w:rPr>
          <w:rStyle w:val="NormalCharacter"/>
          <w:rFonts w:ascii="Times New Roman" w:eastAsia="方正小标宋_GBK" w:hAnsi="Times New Roman"/>
          <w:sz w:val="42"/>
          <w:szCs w:val="42"/>
        </w:rPr>
      </w:pPr>
      <w:r>
        <w:rPr>
          <w:rStyle w:val="NormalCharacter"/>
          <w:rFonts w:ascii="Times New Roman" w:eastAsia="方正小标宋_GBK" w:hAnsi="Times New Roman"/>
          <w:sz w:val="42"/>
          <w:szCs w:val="42"/>
        </w:rPr>
        <w:t>2019</w:t>
      </w:r>
      <w:r>
        <w:rPr>
          <w:rStyle w:val="NormalCharacter"/>
          <w:rFonts w:ascii="Times New Roman" w:eastAsia="方正小标宋_GBK" w:hAnsi="Times New Roman"/>
          <w:sz w:val="42"/>
          <w:szCs w:val="42"/>
        </w:rPr>
        <w:t>年度全国文物艺术品拍卖专项统计</w:t>
      </w:r>
    </w:p>
    <w:p w:rsidR="006004DC" w:rsidRDefault="006004DC" w:rsidP="006004DC">
      <w:pPr>
        <w:jc w:val="center"/>
        <w:rPr>
          <w:rStyle w:val="NormalCharacter"/>
          <w:rFonts w:ascii="Times New Roman" w:eastAsia="楷体_GB2312" w:hAnsi="Times New Roman"/>
          <w:b/>
          <w:sz w:val="40"/>
          <w:szCs w:val="40"/>
        </w:rPr>
      </w:pPr>
      <w:r>
        <w:rPr>
          <w:rStyle w:val="NormalCharacter"/>
          <w:rFonts w:ascii="Times New Roman" w:eastAsia="楷体_GB2312" w:hAnsi="Times New Roman"/>
          <w:b/>
          <w:sz w:val="30"/>
          <w:szCs w:val="30"/>
        </w:rPr>
        <w:t>（网络填报模板）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6004DC" w:rsidRPr="00836E6E" w:rsidRDefault="006004DC" w:rsidP="006004DC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36E6E">
        <w:rPr>
          <w:rFonts w:ascii="黑体" w:eastAsia="黑体" w:hAnsi="黑体" w:cs="Times New Roman"/>
          <w:sz w:val="30"/>
          <w:szCs w:val="30"/>
        </w:rPr>
        <w:t>【特别提示】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统计工作为相关政府部门委托，统计信息主要用于拍卖行业管理决策、《中国文物艺术品拍卖市场统计年报》编制、中国文物艺术品拍卖排行榜（青花奖）评选及其他有关行业事项。企业如对相关统计项目的使用或发布持有意见，请在相应项目后的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备注栏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注明。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836E6E">
        <w:rPr>
          <w:rFonts w:ascii="黑体" w:eastAsia="黑体" w:hAnsi="黑体" w:cs="Times New Roman"/>
          <w:sz w:val="30"/>
          <w:szCs w:val="30"/>
        </w:rPr>
        <w:t>【填表说明】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1</w:t>
      </w:r>
      <w:r w:rsidRPr="00836E6E">
        <w:rPr>
          <w:rFonts w:ascii="Times New Roman" w:hAnsi="Times New Roman" w:cs="Times New Roman"/>
          <w:sz w:val="30"/>
          <w:szCs w:val="30"/>
        </w:rPr>
        <w:t>．本统计以具备独立法人资格的拍卖企业为单位，子公司及关联公司均应分别填报；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2</w:t>
      </w:r>
      <w:r w:rsidRPr="00836E6E">
        <w:rPr>
          <w:rFonts w:ascii="Times New Roman" w:hAnsi="Times New Roman" w:cs="Times New Roman"/>
          <w:sz w:val="30"/>
          <w:szCs w:val="30"/>
        </w:rPr>
        <w:t>．企业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注册资本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为年度</w:t>
      </w:r>
      <w:r w:rsidRPr="00836E6E">
        <w:rPr>
          <w:rFonts w:ascii="Times New Roman" w:hAnsi="Times New Roman" w:cs="Times New Roman"/>
          <w:b/>
          <w:sz w:val="30"/>
          <w:szCs w:val="30"/>
        </w:rPr>
        <w:t>期末数</w:t>
      </w:r>
      <w:r w:rsidRPr="00836E6E">
        <w:rPr>
          <w:rFonts w:ascii="Times New Roman" w:hAnsi="Times New Roman" w:cs="Times New Roman"/>
          <w:sz w:val="30"/>
          <w:szCs w:val="30"/>
        </w:rPr>
        <w:t>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3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员工人数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为年度</w:t>
      </w:r>
      <w:r w:rsidRPr="00836E6E">
        <w:rPr>
          <w:rFonts w:ascii="Times New Roman" w:hAnsi="Times New Roman" w:cs="Times New Roman"/>
          <w:b/>
          <w:sz w:val="30"/>
          <w:szCs w:val="30"/>
        </w:rPr>
        <w:t>期末数</w:t>
      </w:r>
      <w:r w:rsidRPr="00836E6E">
        <w:rPr>
          <w:rFonts w:ascii="Times New Roman" w:hAnsi="Times New Roman" w:cs="Times New Roman"/>
          <w:sz w:val="30"/>
          <w:szCs w:val="30"/>
        </w:rPr>
        <w:t>，以签订劳动合同为准（不含挂职的专家、顾问）；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4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拍卖会次数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以发布的拍卖公告数量为准；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5</w:t>
      </w:r>
      <w:r w:rsidRPr="00836E6E">
        <w:rPr>
          <w:rFonts w:ascii="Times New Roman" w:hAnsi="Times New Roman" w:cs="Times New Roman"/>
          <w:sz w:val="30"/>
          <w:szCs w:val="30"/>
        </w:rPr>
        <w:t>．当一个专场包含两个或以上类别时，如其中某一门类成交额占</w:t>
      </w:r>
      <w:r w:rsidRPr="00836E6E">
        <w:rPr>
          <w:rFonts w:ascii="Times New Roman" w:hAnsi="Times New Roman" w:cs="Times New Roman"/>
          <w:sz w:val="30"/>
          <w:szCs w:val="30"/>
        </w:rPr>
        <w:t>70%</w:t>
      </w:r>
      <w:r w:rsidRPr="00836E6E">
        <w:rPr>
          <w:rFonts w:ascii="Times New Roman" w:hAnsi="Times New Roman" w:cs="Times New Roman"/>
          <w:sz w:val="30"/>
          <w:szCs w:val="30"/>
        </w:rPr>
        <w:t>（含）以上，可全部归入此门类中（专场成交在</w:t>
      </w:r>
      <w:r w:rsidRPr="00836E6E">
        <w:rPr>
          <w:rFonts w:ascii="Times New Roman" w:hAnsi="Times New Roman" w:cs="Times New Roman"/>
          <w:sz w:val="30"/>
          <w:szCs w:val="30"/>
        </w:rPr>
        <w:t>1</w:t>
      </w:r>
      <w:r w:rsidRPr="00836E6E">
        <w:rPr>
          <w:rFonts w:ascii="Times New Roman" w:hAnsi="Times New Roman" w:cs="Times New Roman"/>
          <w:sz w:val="30"/>
          <w:szCs w:val="30"/>
        </w:rPr>
        <w:t>亿以上的除外），否则区分填报；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成交价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是指拍卖师以落槌等方式确认的竞买人的最高应价（即落槌价）；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7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应收佣金（买方）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是指按竞买规则应当收取的买方佣金总额；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8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实收拍品款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和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实收佣金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是指截至填报日前，拍卖企业实际收到的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2019</w:t>
      </w:r>
      <w:r w:rsidRPr="00836E6E">
        <w:rPr>
          <w:rFonts w:ascii="Times New Roman" w:hAnsi="Times New Roman" w:cs="Times New Roman"/>
          <w:sz w:val="30"/>
          <w:szCs w:val="30"/>
        </w:rPr>
        <w:t>年度成交拍品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的货款和佣金；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9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企业年度效益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一栏按自然年度计算，并仅限于文物艺术品拍卖业务，综合性拍卖企业须剔除其他拍卖业务；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10</w:t>
      </w:r>
      <w:r w:rsidRPr="00836E6E">
        <w:rPr>
          <w:rFonts w:ascii="Times New Roman" w:hAnsi="Times New Roman" w:cs="Times New Roman"/>
          <w:sz w:val="30"/>
          <w:szCs w:val="30"/>
        </w:rPr>
        <w:t>．企业有关纳税数据，均按所属期实缴数填写，上传缴税凭证须体现缴税单位、税种、所属期及金额等；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11</w:t>
      </w:r>
      <w:r w:rsidRPr="00836E6E">
        <w:rPr>
          <w:rFonts w:ascii="Times New Roman" w:hAnsi="Times New Roman" w:cs="Times New Roman"/>
          <w:sz w:val="30"/>
          <w:szCs w:val="30"/>
        </w:rPr>
        <w:t>．综合性拍卖企业在填写增值税后，须计算出其在文物艺术品拍卖业务方面的创税额；</w:t>
      </w:r>
    </w:p>
    <w:p w:rsidR="006004DC" w:rsidRPr="00836E6E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  <w:r w:rsidRPr="00836E6E">
        <w:rPr>
          <w:rFonts w:ascii="Times New Roman" w:hAnsi="Times New Roman" w:cs="Times New Roman"/>
          <w:sz w:val="30"/>
          <w:szCs w:val="30"/>
        </w:rPr>
        <w:t>12</w:t>
      </w:r>
      <w:r w:rsidRPr="00836E6E">
        <w:rPr>
          <w:rFonts w:ascii="Times New Roman" w:hAnsi="Times New Roman" w:cs="Times New Roman"/>
          <w:spacing w:val="-80"/>
          <w:sz w:val="30"/>
          <w:szCs w:val="30"/>
        </w:rPr>
        <w:t>．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海外回流文物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以具有相关入境手续为准；</w:t>
      </w:r>
    </w:p>
    <w:p w:rsidR="006004DC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  <w:sectPr w:rsidR="006004DC" w:rsidSect="001A6E35">
          <w:footerReference w:type="even" r:id="rId4"/>
          <w:footerReference w:type="default" r:id="rId5"/>
          <w:pgSz w:w="11906" w:h="16838"/>
          <w:pgMar w:top="1440" w:right="1797" w:bottom="1440" w:left="1797" w:header="851" w:footer="1247" w:gutter="0"/>
          <w:pgNumType w:chapStyle="1"/>
          <w:cols w:space="425"/>
          <w:docGrid w:type="lines" w:linePitch="326"/>
        </w:sectPr>
      </w:pPr>
      <w:r w:rsidRPr="00836E6E">
        <w:rPr>
          <w:rFonts w:ascii="Times New Roman" w:hAnsi="Times New Roman" w:cs="Times New Roman"/>
          <w:sz w:val="30"/>
          <w:szCs w:val="30"/>
        </w:rPr>
        <w:t>13</w:t>
      </w:r>
      <w:r w:rsidRPr="00836E6E">
        <w:rPr>
          <w:rFonts w:ascii="Times New Roman" w:hAnsi="Times New Roman" w:cs="Times New Roman"/>
          <w:sz w:val="30"/>
          <w:szCs w:val="30"/>
        </w:rPr>
        <w:t>．填报人在填报时，如有其他特殊情况，请在相应项目后的</w:t>
      </w:r>
      <w:r>
        <w:rPr>
          <w:rFonts w:ascii="Times New Roman" w:hAnsi="Times New Roman" w:cs="Times New Roman" w:hint="eastAsia"/>
          <w:sz w:val="30"/>
          <w:szCs w:val="30"/>
        </w:rPr>
        <w:t>“</w:t>
      </w:r>
      <w:r w:rsidRPr="00836E6E">
        <w:rPr>
          <w:rFonts w:ascii="Times New Roman" w:hAnsi="Times New Roman" w:cs="Times New Roman"/>
          <w:sz w:val="30"/>
          <w:szCs w:val="30"/>
        </w:rPr>
        <w:t>备注栏</w:t>
      </w:r>
      <w:r>
        <w:rPr>
          <w:rFonts w:ascii="Times New Roman" w:hAnsi="Times New Roman" w:cs="Times New Roman" w:hint="eastAsia"/>
          <w:sz w:val="30"/>
          <w:szCs w:val="30"/>
        </w:rPr>
        <w:t>”</w:t>
      </w:r>
      <w:r w:rsidRPr="00836E6E">
        <w:rPr>
          <w:rFonts w:ascii="Times New Roman" w:hAnsi="Times New Roman" w:cs="Times New Roman"/>
          <w:sz w:val="30"/>
          <w:szCs w:val="30"/>
        </w:rPr>
        <w:t>中予以说明。</w:t>
      </w:r>
    </w:p>
    <w:tbl>
      <w:tblPr>
        <w:tblW w:w="15512" w:type="dxa"/>
        <w:jc w:val="center"/>
        <w:tblLayout w:type="fixed"/>
        <w:tblLook w:val="04A0"/>
      </w:tblPr>
      <w:tblGrid>
        <w:gridCol w:w="1199"/>
        <w:gridCol w:w="1930"/>
        <w:gridCol w:w="464"/>
        <w:gridCol w:w="683"/>
        <w:gridCol w:w="488"/>
        <w:gridCol w:w="1400"/>
        <w:gridCol w:w="681"/>
        <w:gridCol w:w="2651"/>
        <w:gridCol w:w="1512"/>
        <w:gridCol w:w="1382"/>
        <w:gridCol w:w="1428"/>
        <w:gridCol w:w="854"/>
        <w:gridCol w:w="840"/>
      </w:tblGrid>
      <w:tr w:rsidR="006004DC" w:rsidTr="006D1420">
        <w:trPr>
          <w:trHeight w:val="482"/>
          <w:jc w:val="center"/>
        </w:trPr>
        <w:tc>
          <w:tcPr>
            <w:tcW w:w="1551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lastRenderedPageBreak/>
              <w:t>企业名称：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                ]  </w:t>
            </w:r>
          </w:p>
        </w:tc>
      </w:tr>
      <w:tr w:rsidR="006004DC" w:rsidTr="006D1420">
        <w:trPr>
          <w:trHeight w:val="482"/>
          <w:jc w:val="center"/>
        </w:trPr>
        <w:tc>
          <w:tcPr>
            <w:tcW w:w="1551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是否具备文物拍卖经营许可：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○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是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[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许可证号（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                 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]      ○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否</w:t>
            </w:r>
          </w:p>
        </w:tc>
      </w:tr>
      <w:tr w:rsidR="006004DC" w:rsidTr="006D1420">
        <w:trPr>
          <w:trHeight w:val="482"/>
          <w:jc w:val="center"/>
        </w:trPr>
        <w:tc>
          <w:tcPr>
            <w:tcW w:w="1551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法人代表：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 ]  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注册资本：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   </w:t>
            </w:r>
          </w:p>
        </w:tc>
      </w:tr>
      <w:tr w:rsidR="006004DC" w:rsidTr="006D1420">
        <w:trPr>
          <w:trHeight w:val="454"/>
          <w:jc w:val="center"/>
        </w:trPr>
        <w:tc>
          <w:tcPr>
            <w:tcW w:w="1551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员工总人数：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人</w:t>
            </w:r>
          </w:p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其中从事文物艺术品拍卖业务相关员工人数：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人</w:t>
            </w:r>
            <w:r>
              <w:rPr>
                <w:rStyle w:val="NormalCharacter"/>
                <w:rFonts w:ascii="宋体"/>
                <w:spacing w:val="-6"/>
                <w:kern w:val="0"/>
                <w:sz w:val="21"/>
                <w:szCs w:val="21"/>
              </w:rPr>
              <w:t>（专一从事文物艺术品拍卖的企业前述员工人数应一致</w:t>
            </w:r>
            <w:r>
              <w:rPr>
                <w:rStyle w:val="NormalCharacter"/>
                <w:rFonts w:ascii="宋体"/>
                <w:spacing w:val="-6"/>
                <w:kern w:val="0"/>
                <w:sz w:val="21"/>
                <w:szCs w:val="21"/>
              </w:rPr>
              <w:t>,</w:t>
            </w:r>
            <w:r>
              <w:rPr>
                <w:rStyle w:val="NormalCharacter"/>
                <w:rFonts w:ascii="宋体"/>
                <w:spacing w:val="-6"/>
                <w:kern w:val="0"/>
                <w:sz w:val="21"/>
                <w:szCs w:val="21"/>
              </w:rPr>
              <w:t>综合性企业只需将从事资产类拍卖业务的人员减去即可）</w:t>
            </w: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分类</w:t>
            </w:r>
          </w:p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中国书画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油画及当代艺术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  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（油画、雕塑、装置、影像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、水彩、素描、速写、版画、漫画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等）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瓷玉杂项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     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(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文物类的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陶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瓷器、玉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石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器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金属器、漆器、竹木牙角、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佛教用具、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纺织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服饰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、家具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陈设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、紫砂茗具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、文房清供等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古籍碑帖</w:t>
            </w:r>
          </w:p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 w:cs="宋体" w:hint="eastAsia"/>
                <w:bCs/>
                <w:color w:val="auto"/>
                <w:kern w:val="0"/>
                <w:sz w:val="21"/>
                <w:szCs w:val="21"/>
              </w:rPr>
              <w:t>古旧书籍、碑帖、文献、手稿、印谱、砚谱等</w:t>
            </w:r>
            <w:r>
              <w:rPr>
                <w:rStyle w:val="NormalCharacter"/>
                <w:rFonts w:ascii="宋体" w:cs="宋体"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邮品钱币</w:t>
            </w:r>
          </w:p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 w:hint="eastAsia"/>
                <w:bCs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邮票、粮票、钱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纸币、纪念章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auto"/>
                <w:szCs w:val="21"/>
              </w:rPr>
              <w:t>币</w:t>
            </w:r>
            <w:r>
              <w:rPr>
                <w:rStyle w:val="NormalCharacter"/>
                <w:rFonts w:ascii="宋体" w:cs="宋体" w:hint="eastAsia"/>
                <w:bCs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其他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(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当代类的珠宝、翡翠、玉石、工艺品</w:t>
            </w:r>
            <w:r>
              <w:rPr>
                <w:rStyle w:val="NormalCharacter"/>
                <w:rFonts w:ascii="宋体" w:hint="eastAsia"/>
                <w:color w:val="auto"/>
                <w:kern w:val="0"/>
                <w:sz w:val="21"/>
                <w:szCs w:val="21"/>
              </w:rPr>
              <w:t>、茶酒及饰品等</w:t>
            </w:r>
            <w:r>
              <w:rPr>
                <w:rStyle w:val="NormalCharacter"/>
                <w:rFonts w:ascii="宋体"/>
                <w:color w:val="auto"/>
                <w:kern w:val="0"/>
                <w:sz w:val="21"/>
                <w:szCs w:val="21"/>
              </w:rPr>
              <w:t>)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spacing w:line="240" w:lineRule="exact"/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004DC" w:rsidTr="006D1420">
        <w:trPr>
          <w:cantSplit/>
          <w:trHeight w:val="1116"/>
          <w:jc w:val="center"/>
        </w:trPr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古代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近现代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当代</w:t>
            </w:r>
          </w:p>
        </w:tc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trHeight w:val="425"/>
          <w:jc w:val="center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拍卖会次数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现场拍卖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场，网络拍卖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场，同步拍卖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场，共计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场。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425"/>
          <w:jc w:val="center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上拍件数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（件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套）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425"/>
          <w:jc w:val="center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成交件数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（件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套）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425"/>
          <w:jc w:val="center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成交率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%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成交拍品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lastRenderedPageBreak/>
              <w:t>价格分布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（件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套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,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不含佣金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lastRenderedPageBreak/>
              <w:t>10</w:t>
            </w:r>
            <w:r>
              <w:rPr>
                <w:rStyle w:val="NormalCharacter"/>
                <w:rFonts w:ascii="Times New Roman"/>
                <w:kern w:val="0"/>
                <w:sz w:val="21"/>
                <w:szCs w:val="21"/>
              </w:rPr>
              <w:t>万以下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  <w:t>10</w:t>
            </w:r>
            <w:r>
              <w:rPr>
                <w:rStyle w:val="NormalCharacter"/>
                <w:rFonts w:ascii="Times New Roman"/>
                <w:spacing w:val="-10"/>
                <w:kern w:val="0"/>
                <w:sz w:val="21"/>
                <w:szCs w:val="21"/>
              </w:rPr>
              <w:t>万（含）</w:t>
            </w:r>
            <w:r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  <w:t>-20</w:t>
            </w:r>
            <w:r>
              <w:rPr>
                <w:rStyle w:val="NormalCharacter"/>
                <w:rFonts w:ascii="Times New Roman"/>
                <w:spacing w:val="-10"/>
                <w:kern w:val="0"/>
                <w:sz w:val="21"/>
                <w:szCs w:val="21"/>
              </w:rPr>
              <w:t>万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  <w:t>20</w:t>
            </w:r>
            <w:r>
              <w:rPr>
                <w:rStyle w:val="NormalCharacter"/>
                <w:rFonts w:ascii="Times New Roman"/>
                <w:spacing w:val="-10"/>
                <w:kern w:val="0"/>
                <w:sz w:val="21"/>
                <w:szCs w:val="21"/>
              </w:rPr>
              <w:t>万（含）</w:t>
            </w:r>
            <w:r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  <w:t>-50</w:t>
            </w:r>
            <w:r>
              <w:rPr>
                <w:rStyle w:val="NormalCharacter"/>
                <w:rFonts w:ascii="Times New Roman"/>
                <w:spacing w:val="-10"/>
                <w:kern w:val="0"/>
                <w:sz w:val="21"/>
                <w:szCs w:val="21"/>
              </w:rPr>
              <w:t>万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leftChars="-31" w:left="-20" w:rightChars="-71" w:right="-170" w:hanging="54"/>
              <w:jc w:val="left"/>
              <w:rPr>
                <w:rStyle w:val="NormalCharacter"/>
                <w:rFonts w:ascii="Times New Roman" w:hAnsi="Times New Roman"/>
                <w:spacing w:val="-1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spacing w:val="-12"/>
                <w:kern w:val="0"/>
                <w:sz w:val="21"/>
                <w:szCs w:val="21"/>
              </w:rPr>
              <w:t>50</w:t>
            </w:r>
            <w:r>
              <w:rPr>
                <w:rStyle w:val="NormalCharacter"/>
                <w:rFonts w:ascii="Times New Roman"/>
                <w:spacing w:val="-12"/>
                <w:kern w:val="0"/>
                <w:sz w:val="21"/>
                <w:szCs w:val="21"/>
              </w:rPr>
              <w:t>万（含）</w:t>
            </w:r>
            <w:r>
              <w:rPr>
                <w:rStyle w:val="NormalCharacter"/>
                <w:rFonts w:ascii="Times New Roman" w:hAnsi="Times New Roman"/>
                <w:spacing w:val="-12"/>
                <w:kern w:val="0"/>
                <w:sz w:val="21"/>
                <w:szCs w:val="21"/>
              </w:rPr>
              <w:t>-100</w:t>
            </w:r>
            <w:r>
              <w:rPr>
                <w:rStyle w:val="NormalCharacter"/>
                <w:rFonts w:ascii="Times New Roman"/>
                <w:spacing w:val="-12"/>
                <w:kern w:val="0"/>
                <w:sz w:val="21"/>
                <w:szCs w:val="21"/>
              </w:rPr>
              <w:t>万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leftChars="-31" w:left="-25" w:rightChars="-71" w:right="-170" w:hanging="49"/>
              <w:jc w:val="left"/>
              <w:rPr>
                <w:rStyle w:val="NormalCharacter"/>
                <w:rFonts w:ascii="Times New Roman" w:hAnsi="Times New Roman"/>
                <w:spacing w:val="-20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spacing w:val="-20"/>
                <w:kern w:val="0"/>
                <w:sz w:val="21"/>
                <w:szCs w:val="21"/>
              </w:rPr>
              <w:t>100</w:t>
            </w:r>
            <w:r>
              <w:rPr>
                <w:rStyle w:val="NormalCharacter"/>
                <w:rFonts w:ascii="Times New Roman"/>
                <w:spacing w:val="-20"/>
                <w:kern w:val="0"/>
                <w:sz w:val="21"/>
                <w:szCs w:val="21"/>
              </w:rPr>
              <w:t>万（含）</w:t>
            </w:r>
            <w:r>
              <w:rPr>
                <w:rStyle w:val="NormalCharacter"/>
                <w:rFonts w:ascii="Times New Roman" w:hAnsi="Times New Roman"/>
                <w:spacing w:val="-20"/>
                <w:kern w:val="0"/>
                <w:sz w:val="21"/>
                <w:szCs w:val="21"/>
              </w:rPr>
              <w:t>-500</w:t>
            </w:r>
            <w:r>
              <w:rPr>
                <w:rStyle w:val="NormalCharacter"/>
                <w:rFonts w:ascii="Times New Roman"/>
                <w:spacing w:val="-20"/>
                <w:kern w:val="0"/>
                <w:sz w:val="21"/>
                <w:szCs w:val="21"/>
              </w:rPr>
              <w:t>万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  <w:t>500</w:t>
            </w:r>
            <w:r>
              <w:rPr>
                <w:rStyle w:val="NormalCharacter"/>
                <w:rFonts w:ascii="Times New Roman"/>
                <w:spacing w:val="-10"/>
                <w:kern w:val="0"/>
                <w:sz w:val="21"/>
                <w:szCs w:val="21"/>
              </w:rPr>
              <w:t>万（含）</w:t>
            </w:r>
            <w:r>
              <w:rPr>
                <w:rStyle w:val="NormalCharacter"/>
                <w:rFonts w:ascii="Times New Roman" w:hAnsi="Times New Roman"/>
                <w:spacing w:val="-10"/>
                <w:kern w:val="0"/>
                <w:sz w:val="21"/>
                <w:szCs w:val="21"/>
              </w:rPr>
              <w:t>-100</w:t>
            </w:r>
            <w:r>
              <w:rPr>
                <w:rStyle w:val="NormalCharacter"/>
                <w:rFonts w:ascii="Times New Roman"/>
                <w:spacing w:val="-10"/>
                <w:kern w:val="0"/>
                <w:sz w:val="21"/>
                <w:szCs w:val="21"/>
              </w:rPr>
              <w:t>万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425"/>
          <w:jc w:val="center"/>
        </w:trPr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004DC" w:rsidRDefault="006004DC" w:rsidP="006D1420">
            <w:pPr>
              <w:ind w:leftChars="25" w:left="60" w:rightChars="-50" w:right="-120"/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t>1000</w:t>
            </w:r>
            <w:r>
              <w:rPr>
                <w:rStyle w:val="NormalCharacter"/>
                <w:rFonts w:ascii="Times New Roman"/>
                <w:kern w:val="0"/>
                <w:sz w:val="21"/>
                <w:szCs w:val="21"/>
              </w:rPr>
              <w:t>万（含）以上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成交金额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成交额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（不含佣金）</w:t>
            </w:r>
          </w:p>
        </w:tc>
        <w:tc>
          <w:tcPr>
            <w:tcW w:w="4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应收佣金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（买方）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结算情况</w:t>
            </w:r>
          </w:p>
          <w:p w:rsidR="006004DC" w:rsidRDefault="006004DC" w:rsidP="006D1420">
            <w:pPr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即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2019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年成交拍品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lastRenderedPageBreak/>
              <w:t>到目前的结算情况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lastRenderedPageBreak/>
              <w:t>实收拍品款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（不含佣金）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（即截至填报日前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, “2019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年成交拍品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”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已完成结算的拍品款）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结算进度（率）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%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即</w:t>
            </w: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实收拍品款（不含佣金）</w:t>
            </w: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/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成交额</w:t>
            </w: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（不含佣金）</w:t>
            </w:r>
            <w:r>
              <w:rPr>
                <w:rStyle w:val="NormalCharacter"/>
                <w:sz w:val="21"/>
                <w:szCs w:val="21"/>
              </w:rPr>
              <w:t>×</w:t>
            </w:r>
            <w:r>
              <w:rPr>
                <w:rStyle w:val="NormalCharacter"/>
                <w:sz w:val="21"/>
                <w:szCs w:val="21"/>
              </w:rPr>
              <w:t>100%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实收佣金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（买卖双方）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万元（即截至填报日前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, “2019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年已结算拍品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”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之实收佣金总额；不含图录、保险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保管等各类费用。）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                               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实收佣金比例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（买卖双方）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%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实收佣金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(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买卖双方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) / </w:t>
            </w: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实收拍品款（不含佣金）</w:t>
            </w: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sz w:val="21"/>
                <w:szCs w:val="21"/>
              </w:rPr>
              <w:t>×</w:t>
            </w:r>
            <w:r>
              <w:rPr>
                <w:rStyle w:val="NormalCharacter"/>
                <w:sz w:val="21"/>
                <w:szCs w:val="21"/>
              </w:rPr>
              <w:t>100%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企业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年度效益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（按自然年内填报，综合性企业须将资产拍卖剔除）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主营业务收入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（佣金收入）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（即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2019.1.1-2019.12.31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期间的佣金收入，含以往成交拍品在本年度内入账的佣金）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企业运营费用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销售费用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+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管理费用）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主营业务利润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主营业务收入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-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企业运营费用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–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税金及附加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主营业务利润率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 %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主营业务利润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/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主营业务收入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sz w:val="21"/>
                <w:szCs w:val="21"/>
              </w:rPr>
              <w:t>×</w:t>
            </w:r>
            <w:r>
              <w:rPr>
                <w:rStyle w:val="NormalCharacter"/>
                <w:sz w:val="21"/>
                <w:szCs w:val="21"/>
              </w:rPr>
              <w:t>100%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费用利润率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 %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主营业务利润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/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企业运营费用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sz w:val="21"/>
                <w:szCs w:val="21"/>
              </w:rPr>
              <w:t>×</w:t>
            </w:r>
            <w:r>
              <w:rPr>
                <w:rStyle w:val="NormalCharacter"/>
                <w:sz w:val="21"/>
                <w:szCs w:val="21"/>
              </w:rPr>
              <w:t>100%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人均创利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人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年度（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主营业务收入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/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文物艺术品拍卖相关员工人数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lastRenderedPageBreak/>
              <w:t>企业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   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增值税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金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万元，其中文物艺术品拍卖业务创税额为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万元。（专一从事文物艺术品拍卖的企业前述税金应一致）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票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【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*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点击上传以上增值税完税证明扫描件或照片】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企业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   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所得税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 xml:space="preserve">                   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金</w:t>
            </w:r>
          </w:p>
        </w:tc>
        <w:tc>
          <w:tcPr>
            <w:tcW w:w="11543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票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【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*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点击上传以上所得税完税证明扫描件或照片】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1146"/>
          <w:jc w:val="center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代扣代缴所得税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18"/>
                <w:szCs w:val="18"/>
              </w:rPr>
              <w:t>（委托人）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税金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trHeight w:val="567"/>
          <w:jc w:val="center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其他税金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金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进口关税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+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进口环节增值税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+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其他税金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纯网络拍卖的情况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（不含同</w:t>
            </w: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lastRenderedPageBreak/>
              <w:t>步拍卖）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lastRenderedPageBreak/>
              <w:t>上拍件数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件（套）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成交件数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件（套）（实际成交件数）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成交率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%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成交件数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/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上拍件数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808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实收拍品款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（不含佣金）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（即截至填报日前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, “2019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年成交拍品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”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已完成结算的拍品款）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834"/>
          <w:jc w:val="center"/>
        </w:trPr>
        <w:tc>
          <w:tcPr>
            <w:tcW w:w="119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实收佣金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  <w:t>（买卖双方）</w:t>
            </w:r>
          </w:p>
        </w:tc>
        <w:tc>
          <w:tcPr>
            <w:tcW w:w="115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万元（即截至填报日前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, “2019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年已结算拍品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”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之实收佣金总额；不含图录、保险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/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保管等各类费用。）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 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10"/>
          <w:jc w:val="center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企业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社会贡献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海外文物回流贡献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（此项可不填写）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上拍件数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件（套）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成交件数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件（套）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成交率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%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=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成交件数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/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上拍件数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总成交价（不含佣金）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企业</w:t>
            </w:r>
          </w:p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  <w:t>社会贡献</w:t>
            </w:r>
          </w:p>
        </w:tc>
        <w:tc>
          <w:tcPr>
            <w:tcW w:w="193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产业链贡献</w:t>
            </w:r>
          </w:p>
        </w:tc>
        <w:tc>
          <w:tcPr>
            <w:tcW w:w="303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宣传广告支出</w:t>
            </w:r>
          </w:p>
        </w:tc>
        <w:tc>
          <w:tcPr>
            <w:tcW w:w="850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印刷出版支出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（拍卖图录、刊物、书籍及有关资料的印刷和出版费用）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酒店会展支出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（拍卖场地、场地布置、酒店招待等）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运输邮递支出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（图录、拍品及相关资料的快递及运输）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保险支出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（向正规保险公司投付的保险费）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差旅支出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（日常交通、住宿、餐饮等）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小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计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公益性贡献</w:t>
            </w: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慈善捐赠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（即现金捐赠或其他捐赠折合金额，一般以捐赠发票或证书为准）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cantSplit/>
          <w:trHeight w:val="567"/>
          <w:jc w:val="center"/>
        </w:trPr>
        <w:tc>
          <w:tcPr>
            <w:tcW w:w="119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公益拍卖活动</w:t>
            </w:r>
          </w:p>
        </w:tc>
        <w:tc>
          <w:tcPr>
            <w:tcW w:w="85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场，属于各有关方捐献的成交额为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 [           ]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万元（不含佣金）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</w:p>
        </w:tc>
      </w:tr>
      <w:tr w:rsidR="006004DC" w:rsidTr="006D1420">
        <w:trPr>
          <w:trHeight w:val="567"/>
          <w:jc w:val="center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cs="Times New Roman"/>
                <w:bCs/>
                <w:kern w:val="0"/>
                <w:sz w:val="21"/>
                <w:szCs w:val="21"/>
              </w:rPr>
              <w:t>附表</w:t>
            </w:r>
            <w:r>
              <w:rPr>
                <w:rStyle w:val="NormalCharacter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347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t xml:space="preserve"> 2019</w:t>
            </w:r>
            <w:r>
              <w:rPr>
                <w:rStyle w:val="NormalCharacter"/>
                <w:rFonts w:ascii="Times New Roman"/>
                <w:kern w:val="0"/>
                <w:sz w:val="21"/>
                <w:szCs w:val="21"/>
              </w:rPr>
              <w:t>年度</w:t>
            </w: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t>1000</w:t>
            </w:r>
            <w:r>
              <w:rPr>
                <w:rStyle w:val="NormalCharacter"/>
                <w:rFonts w:ascii="Times New Roman"/>
                <w:kern w:val="0"/>
                <w:sz w:val="21"/>
                <w:szCs w:val="21"/>
              </w:rPr>
              <w:t>万元以上成交拍品信息表【点击进入】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567"/>
          <w:jc w:val="center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cs="Times New Roman"/>
                <w:bCs/>
                <w:kern w:val="0"/>
                <w:sz w:val="21"/>
                <w:szCs w:val="21"/>
              </w:rPr>
              <w:t>附表</w:t>
            </w:r>
            <w:r>
              <w:rPr>
                <w:rStyle w:val="NormalCharacter"/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34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t xml:space="preserve"> 2019</w:t>
            </w:r>
            <w:r>
              <w:rPr>
                <w:rStyle w:val="NormalCharacter"/>
                <w:rFonts w:ascii="Times New Roman"/>
                <w:kern w:val="0"/>
                <w:sz w:val="21"/>
                <w:szCs w:val="21"/>
              </w:rPr>
              <w:t>年度客户违约信息统计表【点击进入】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567"/>
          <w:jc w:val="center"/>
        </w:trPr>
        <w:tc>
          <w:tcPr>
            <w:tcW w:w="15512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企业授权填报人：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 ]        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填报人移动电话：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              ] </w:t>
            </w:r>
          </w:p>
        </w:tc>
      </w:tr>
      <w:tr w:rsidR="006004DC" w:rsidTr="006D1420">
        <w:trPr>
          <w:trHeight w:val="567"/>
          <w:jc w:val="center"/>
        </w:trPr>
        <w:tc>
          <w:tcPr>
            <w:tcW w:w="15512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004DC" w:rsidRDefault="006004DC" w:rsidP="006D1420">
            <w:pPr>
              <w:ind w:firstLineChars="100" w:firstLine="210"/>
              <w:jc w:val="left"/>
              <w:rPr>
                <w:rStyle w:val="NormalCharacter"/>
                <w:rFonts w:ascii="宋体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通讯邮编：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] 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企业通讯电话：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             ]   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>企业营业地址：</w:t>
            </w:r>
            <w:r>
              <w:rPr>
                <w:rStyle w:val="NormalCharacter"/>
                <w:rFonts w:ascii="宋体"/>
                <w:kern w:val="0"/>
                <w:sz w:val="21"/>
                <w:szCs w:val="21"/>
              </w:rPr>
              <w:t xml:space="preserve">[                                                        ]               </w:t>
            </w:r>
          </w:p>
        </w:tc>
      </w:tr>
    </w:tbl>
    <w:p w:rsidR="006004DC" w:rsidRPr="003E57FC" w:rsidRDefault="006004DC" w:rsidP="006004DC">
      <w:pPr>
        <w:spacing w:line="360" w:lineRule="auto"/>
        <w:ind w:firstLineChars="200" w:firstLine="600"/>
        <w:rPr>
          <w:rFonts w:ascii="Times New Roman" w:hAnsi="Times New Roman" w:cs="Times New Roman"/>
          <w:sz w:val="30"/>
          <w:szCs w:val="30"/>
        </w:rPr>
      </w:pPr>
    </w:p>
    <w:p w:rsidR="006004DC" w:rsidRDefault="006004DC" w:rsidP="006004DC">
      <w:pPr>
        <w:rPr>
          <w:rStyle w:val="NormalCharacter"/>
          <w:rFonts w:ascii="Times New Roman" w:hAnsi="Times New Roman"/>
          <w:kern w:val="0"/>
          <w:sz w:val="30"/>
          <w:szCs w:val="30"/>
        </w:rPr>
        <w:sectPr w:rsidR="006004DC" w:rsidSect="003E57FC">
          <w:footerReference w:type="even" r:id="rId6"/>
          <w:footerReference w:type="default" r:id="rId7"/>
          <w:pgSz w:w="16838" w:h="11906" w:orient="landscape" w:code="9"/>
          <w:pgMar w:top="1588" w:right="1440" w:bottom="1588" w:left="1440" w:header="851" w:footer="1134" w:gutter="0"/>
          <w:pgNumType w:chapStyle="1"/>
          <w:cols w:space="425"/>
          <w:docGrid w:type="lines" w:linePitch="326"/>
        </w:sectPr>
      </w:pPr>
    </w:p>
    <w:p w:rsidR="006004DC" w:rsidRDefault="006004DC" w:rsidP="006004DC">
      <w:pPr>
        <w:spacing w:before="65"/>
        <w:ind w:leftChars="-63" w:left="167" w:hanging="318"/>
        <w:rPr>
          <w:rStyle w:val="NormalCharacter"/>
          <w:rFonts w:ascii="Times New Roman" w:eastAsia="黑体" w:hAnsi="Times New Roman"/>
          <w:sz w:val="30"/>
          <w:szCs w:val="30"/>
        </w:rPr>
      </w:pPr>
      <w:r>
        <w:rPr>
          <w:rStyle w:val="NormalCharacter"/>
          <w:rFonts w:ascii="Times New Roman" w:eastAsia="黑体" w:hAnsi="黑体"/>
          <w:sz w:val="30"/>
          <w:szCs w:val="30"/>
        </w:rPr>
        <w:lastRenderedPageBreak/>
        <w:t>附表</w:t>
      </w:r>
      <w:r>
        <w:rPr>
          <w:rStyle w:val="NormalCharacter"/>
          <w:rFonts w:ascii="Times New Roman" w:eastAsia="黑体" w:hAnsi="Times New Roman"/>
          <w:sz w:val="30"/>
          <w:szCs w:val="30"/>
        </w:rPr>
        <w:t>1</w:t>
      </w:r>
      <w:r>
        <w:rPr>
          <w:rStyle w:val="NormalCharacter"/>
          <w:rFonts w:ascii="Times New Roman" w:eastAsia="黑体" w:hAnsi="黑体"/>
          <w:sz w:val="30"/>
          <w:szCs w:val="30"/>
        </w:rPr>
        <w:t>：</w:t>
      </w:r>
    </w:p>
    <w:p w:rsidR="006004DC" w:rsidRDefault="006004DC" w:rsidP="006004DC">
      <w:pPr>
        <w:snapToGrid w:val="0"/>
        <w:spacing w:after="163"/>
        <w:jc w:val="center"/>
        <w:rPr>
          <w:rStyle w:val="NormalCharacter"/>
          <w:rFonts w:ascii="方正小标宋_GBK" w:eastAsia="方正小标宋_GBK"/>
          <w:sz w:val="42"/>
          <w:szCs w:val="42"/>
        </w:rPr>
      </w:pPr>
      <w:r>
        <w:rPr>
          <w:rStyle w:val="NormalCharacter"/>
          <w:rFonts w:ascii="方正小标宋_GBK" w:eastAsia="方正小标宋_GBK"/>
          <w:sz w:val="42"/>
          <w:szCs w:val="42"/>
        </w:rPr>
        <w:t>2019年度1000万元以上成交拍品信息表</w:t>
      </w:r>
    </w:p>
    <w:tbl>
      <w:tblPr>
        <w:tblW w:w="143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1646"/>
        <w:gridCol w:w="1353"/>
        <w:gridCol w:w="1188"/>
        <w:gridCol w:w="1294"/>
        <w:gridCol w:w="1853"/>
        <w:gridCol w:w="1555"/>
        <w:gridCol w:w="1813"/>
        <w:gridCol w:w="1737"/>
        <w:gridCol w:w="1106"/>
      </w:tblGrid>
      <w:tr w:rsidR="006004DC" w:rsidRPr="00527501" w:rsidTr="006D1420">
        <w:trPr>
          <w:trHeight w:val="889"/>
          <w:jc w:val="center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 xml:space="preserve">拍品名称              </w:t>
            </w:r>
            <w:r w:rsidRPr="00527501">
              <w:rPr>
                <w:rStyle w:val="NormalCharacter"/>
                <w:rFonts w:ascii="黑体" w:eastAsia="黑体" w:hAnsi="黑体"/>
                <w:kern w:val="0"/>
                <w:sz w:val="21"/>
                <w:szCs w:val="21"/>
              </w:rPr>
              <w:t>（含作者、年代/创作时间）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拍品所属             拍卖会名称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拍品所属                 专场名称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拍品编号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ind w:leftChars="-50" w:left="-120" w:rightChars="-50" w:right="-120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 xml:space="preserve">成交价            </w:t>
            </w:r>
            <w:r w:rsidRPr="00527501">
              <w:rPr>
                <w:rStyle w:val="NormalCharacter"/>
                <w:rFonts w:ascii="黑体" w:eastAsia="黑体" w:hAnsi="黑体"/>
                <w:kern w:val="0"/>
                <w:sz w:val="21"/>
                <w:szCs w:val="21"/>
              </w:rPr>
              <w:t>（不含佣金/万元）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ind w:leftChars="-50" w:left="-120" w:rightChars="-50" w:right="-120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 xml:space="preserve">应收佣金额             </w:t>
            </w:r>
            <w:r w:rsidRPr="00527501">
              <w:rPr>
                <w:rStyle w:val="NormalCharacter"/>
                <w:rFonts w:ascii="黑体" w:eastAsia="黑体" w:hAnsi="黑体"/>
                <w:kern w:val="0"/>
                <w:sz w:val="21"/>
                <w:szCs w:val="21"/>
              </w:rPr>
              <w:t>（买方/万元）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 xml:space="preserve">拍品款结算进度                          </w:t>
            </w:r>
            <w:r w:rsidRPr="00527501">
              <w:rPr>
                <w:rStyle w:val="NormalCharacter"/>
                <w:rFonts w:ascii="黑体" w:eastAsia="黑体" w:hAnsi="黑体"/>
                <w:kern w:val="0"/>
                <w:sz w:val="21"/>
                <w:szCs w:val="21"/>
              </w:rPr>
              <w:t>（截至填报日）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拍品征集                 来源区域</w:t>
            </w:r>
          </w:p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（此列可不填）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Pr="00527501" w:rsidRDefault="006004DC" w:rsidP="006D1420">
            <w:pPr>
              <w:spacing w:line="260" w:lineRule="exact"/>
              <w:jc w:val="center"/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</w:pPr>
            <w:r w:rsidRPr="00527501">
              <w:rPr>
                <w:rStyle w:val="NormalCharacter"/>
                <w:rFonts w:ascii="黑体" w:eastAsia="黑体" w:hAnsi="黑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004DC" w:rsidTr="006D1420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center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未结算 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未完全结算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已结算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内地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港、澳、台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国外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center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未结算 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未完全结算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已结算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内地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港、澳、台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国外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center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未结算 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未完全结算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已结算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内地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港、澳、台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国外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center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未结算 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未完全结算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已结算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内地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港、澳、台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国外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center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未结算 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未完全结算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已结算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内地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港、澳、台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国外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</w:tr>
      <w:tr w:rsidR="006004DC" w:rsidTr="006D1420">
        <w:trPr>
          <w:trHeight w:val="863"/>
          <w:jc w:val="center"/>
        </w:trPr>
        <w:tc>
          <w:tcPr>
            <w:tcW w:w="7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center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未结算 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未完全结算          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已结算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内地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 xml:space="preserve">港、澳、台                   </w:t>
            </w:r>
            <w:r>
              <w:rPr>
                <w:rStyle w:val="NormalCharacter"/>
                <w:kern w:val="0"/>
                <w:sz w:val="21"/>
                <w:szCs w:val="21"/>
              </w:rPr>
              <w:t>○</w:t>
            </w:r>
            <w:r>
              <w:rPr>
                <w:rStyle w:val="NormalCharacter"/>
                <w:kern w:val="0"/>
                <w:sz w:val="21"/>
                <w:szCs w:val="21"/>
              </w:rPr>
              <w:t>国外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spacing w:line="260" w:lineRule="exact"/>
              <w:jc w:val="left"/>
              <w:rPr>
                <w:rStyle w:val="NormalCharacter"/>
                <w:kern w:val="0"/>
                <w:sz w:val="21"/>
                <w:szCs w:val="21"/>
              </w:rPr>
            </w:pPr>
            <w:r>
              <w:rPr>
                <w:rStyle w:val="NormalCharacter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004DC" w:rsidRDefault="006004DC" w:rsidP="006004DC">
      <w:pPr>
        <w:spacing w:before="163"/>
        <w:rPr>
          <w:rStyle w:val="NormalCharacter"/>
          <w:rFonts w:ascii="宋体"/>
          <w:kern w:val="0"/>
          <w:sz w:val="20"/>
          <w:szCs w:val="20"/>
        </w:rPr>
      </w:pPr>
      <w:r>
        <w:rPr>
          <w:rStyle w:val="NormalCharacter"/>
          <w:rFonts w:ascii="宋体"/>
          <w:kern w:val="0"/>
          <w:sz w:val="20"/>
          <w:szCs w:val="20"/>
        </w:rPr>
        <w:lastRenderedPageBreak/>
        <w:t xml:space="preserve">* </w:t>
      </w:r>
      <w:r>
        <w:rPr>
          <w:rStyle w:val="NormalCharacter"/>
          <w:rFonts w:ascii="宋体"/>
          <w:kern w:val="0"/>
          <w:sz w:val="20"/>
          <w:szCs w:val="20"/>
        </w:rPr>
        <w:t>点击添加行</w:t>
      </w:r>
    </w:p>
    <w:p w:rsidR="006004DC" w:rsidRDefault="006004DC" w:rsidP="006004DC">
      <w:pPr>
        <w:ind w:leftChars="-150" w:left="-360"/>
        <w:rPr>
          <w:rStyle w:val="NormalCharacter"/>
          <w:rFonts w:ascii="Times New Roman" w:eastAsia="黑体" w:hAnsi="黑体"/>
          <w:sz w:val="30"/>
          <w:szCs w:val="30"/>
        </w:rPr>
      </w:pPr>
    </w:p>
    <w:p w:rsidR="006004DC" w:rsidRDefault="006004DC" w:rsidP="006004DC">
      <w:pPr>
        <w:ind w:leftChars="-150" w:left="-360"/>
        <w:rPr>
          <w:rStyle w:val="NormalCharacter"/>
          <w:rFonts w:ascii="Times New Roman" w:eastAsia="黑体" w:hAnsi="Times New Roman"/>
          <w:sz w:val="30"/>
          <w:szCs w:val="30"/>
        </w:rPr>
      </w:pPr>
      <w:r>
        <w:rPr>
          <w:rStyle w:val="NormalCharacter"/>
          <w:rFonts w:ascii="Times New Roman" w:eastAsia="黑体" w:hAnsi="黑体"/>
          <w:sz w:val="30"/>
          <w:szCs w:val="30"/>
        </w:rPr>
        <w:t>附表</w:t>
      </w:r>
      <w:r>
        <w:rPr>
          <w:rStyle w:val="NormalCharacter"/>
          <w:rFonts w:ascii="Times New Roman" w:eastAsia="黑体" w:hAnsi="Times New Roman"/>
          <w:sz w:val="30"/>
          <w:szCs w:val="30"/>
        </w:rPr>
        <w:t>2</w:t>
      </w:r>
      <w:r>
        <w:rPr>
          <w:rStyle w:val="NormalCharacter"/>
          <w:rFonts w:ascii="Times New Roman" w:eastAsia="黑体" w:hAnsi="黑体"/>
          <w:sz w:val="30"/>
          <w:szCs w:val="30"/>
        </w:rPr>
        <w:t>：</w:t>
      </w:r>
    </w:p>
    <w:p w:rsidR="006004DC" w:rsidRDefault="006004DC" w:rsidP="006004DC">
      <w:pPr>
        <w:snapToGrid w:val="0"/>
        <w:spacing w:before="163" w:after="163"/>
        <w:jc w:val="center"/>
        <w:rPr>
          <w:rStyle w:val="NormalCharacter"/>
          <w:rFonts w:ascii="方正小标宋_GBK" w:eastAsia="方正小标宋_GBK"/>
          <w:sz w:val="42"/>
          <w:szCs w:val="42"/>
        </w:rPr>
      </w:pPr>
      <w:r>
        <w:rPr>
          <w:rStyle w:val="NormalCharacter"/>
          <w:rFonts w:ascii="方正小标宋_GBK" w:eastAsia="方正小标宋_GBK"/>
          <w:sz w:val="42"/>
          <w:szCs w:val="42"/>
        </w:rPr>
        <w:t>2019年度客户违约信息统计表</w:t>
      </w:r>
    </w:p>
    <w:tbl>
      <w:tblPr>
        <w:tblW w:w="14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5"/>
        <w:gridCol w:w="1659"/>
        <w:gridCol w:w="2838"/>
        <w:gridCol w:w="3128"/>
        <w:gridCol w:w="4967"/>
        <w:gridCol w:w="1379"/>
      </w:tblGrid>
      <w:tr w:rsidR="006004DC" w:rsidTr="006D1420">
        <w:trPr>
          <w:trHeight w:val="733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  <w:t>客 户 名 称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  <w:t>证件类型及证件号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  <w:t>违约事实描述</w:t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  <w:t>处理意愿（可多选）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jc w:val="center"/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Times New Roman"/>
                <w:bCs/>
                <w:kern w:val="0"/>
                <w:sz w:val="21"/>
                <w:szCs w:val="21"/>
              </w:rPr>
              <w:t>证明</w:t>
            </w:r>
          </w:p>
        </w:tc>
      </w:tr>
      <w:tr w:rsidR="006004DC" w:rsidTr="006D1420">
        <w:trPr>
          <w:trHeight w:val="1576"/>
          <w:jc w:val="center"/>
        </w:trPr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证件类型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[               ]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证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件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号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[               ]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　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仅限中拍协备案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授权中拍协在艺委会范围内进行通报使用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授权中拍协在全行业范围内进行通报使用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授权中拍协向国家及社会有关诚信建设部门通报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【点击上传有关事实证明材料】</w:t>
            </w:r>
          </w:p>
        </w:tc>
      </w:tr>
      <w:tr w:rsidR="006004DC" w:rsidTr="006D1420">
        <w:trPr>
          <w:trHeight w:val="1555"/>
          <w:jc w:val="center"/>
        </w:trPr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证件类型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[               ]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证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件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号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[               ]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　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仅限中拍协备案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授权中拍协在艺委会范围内进行通报使用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lastRenderedPageBreak/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授权中拍协在全行业范围内进行通报使用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授权中拍协向国家及社会有关诚信建设部门通报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lastRenderedPageBreak/>
              <w:t>【点击上传有关事实证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lastRenderedPageBreak/>
              <w:t>明材料】</w:t>
            </w:r>
          </w:p>
        </w:tc>
      </w:tr>
      <w:tr w:rsidR="006004DC" w:rsidTr="006D1420">
        <w:trPr>
          <w:trHeight w:val="1549"/>
          <w:jc w:val="center"/>
        </w:trPr>
        <w:tc>
          <w:tcPr>
            <w:tcW w:w="9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jc w:val="left"/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Style w:val="NormalCharacter"/>
                <w:rFonts w:ascii="Times New Roman" w:hAnsi="Times New Roman"/>
                <w:kern w:val="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证件类型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[               ]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证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件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号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[               ]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　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仅限中拍协备案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授权中拍协在艺委会范围内进行通报使用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授权中拍协在全行业范围内进行通报使用</w:t>
            </w:r>
          </w:p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 xml:space="preserve">○ </w:t>
            </w: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授权中拍协向国家及社会有关诚信建设部门通报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6004DC" w:rsidRDefault="006004DC" w:rsidP="006D1420">
            <w:pPr>
              <w:pStyle w:val="UserStyle8"/>
              <w:rPr>
                <w:rStyle w:val="NormalCharacter"/>
                <w:rFonts w:ascii="Times New Roman" w:eastAsia="仿宋_GB2312" w:hAnsi="Times New Roman"/>
                <w:kern w:val="0"/>
              </w:rPr>
            </w:pPr>
            <w:r>
              <w:rPr>
                <w:rStyle w:val="NormalCharacter"/>
                <w:rFonts w:ascii="Times New Roman" w:eastAsia="仿宋_GB2312" w:hAnsi="Times New Roman"/>
                <w:kern w:val="0"/>
              </w:rPr>
              <w:t>【点击上传有关事实证明材料】</w:t>
            </w:r>
          </w:p>
        </w:tc>
      </w:tr>
    </w:tbl>
    <w:p w:rsidR="006004DC" w:rsidRDefault="006004DC" w:rsidP="006004DC">
      <w:pPr>
        <w:rPr>
          <w:rStyle w:val="NormalCharacter"/>
          <w:rFonts w:ascii="宋体"/>
          <w:kern w:val="0"/>
          <w:sz w:val="20"/>
          <w:szCs w:val="20"/>
        </w:rPr>
      </w:pPr>
      <w:r>
        <w:rPr>
          <w:rStyle w:val="NormalCharacter"/>
          <w:rFonts w:ascii="宋体"/>
          <w:kern w:val="0"/>
          <w:sz w:val="20"/>
          <w:szCs w:val="20"/>
        </w:rPr>
        <w:t xml:space="preserve">* </w:t>
      </w:r>
      <w:r>
        <w:rPr>
          <w:rStyle w:val="NormalCharacter"/>
          <w:rFonts w:ascii="宋体"/>
          <w:kern w:val="0"/>
          <w:sz w:val="20"/>
          <w:szCs w:val="20"/>
        </w:rPr>
        <w:t>点击添加行</w:t>
      </w:r>
    </w:p>
    <w:p w:rsidR="00601840" w:rsidRDefault="00601840"/>
    <w:sectPr w:rsidR="00601840" w:rsidSect="006004D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85" w:rsidRDefault="006004DC" w:rsidP="001A6E35">
    <w:pPr>
      <w:pStyle w:val="a3"/>
      <w:rPr>
        <w:rStyle w:val="NormalCharacter"/>
        <w:rFonts w:ascii="Times New Roman" w:hAnsi="Times New Roman"/>
        <w:spacing w:val="-10"/>
        <w:sz w:val="28"/>
        <w:szCs w:val="28"/>
      </w:rPr>
    </w:pPr>
    <w:r w:rsidRPr="004F62F2">
      <w:rPr>
        <w:rFonts w:ascii="Times New Roman" w:hAnsi="Times New Roman" w:hint="eastAsia"/>
        <w:spacing w:val="-10"/>
        <w:sz w:val="28"/>
        <w:szCs w:val="28"/>
      </w:rPr>
      <w:t>—</w:t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/>
        <w:spacing w:val="-10"/>
        <w:sz w:val="28"/>
        <w:szCs w:val="28"/>
      </w:rPr>
      <w:fldChar w:fldCharType="begin"/>
    </w:r>
    <w:r w:rsidRPr="004F62F2"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Pr="004F62F2">
      <w:rPr>
        <w:rFonts w:ascii="Times New Roman" w:hAnsi="Times New Roman"/>
        <w:spacing w:val="-10"/>
        <w:sz w:val="28"/>
        <w:szCs w:val="28"/>
      </w:rPr>
      <w:fldChar w:fldCharType="separate"/>
    </w:r>
    <w:r w:rsidRPr="005611BA">
      <w:rPr>
        <w:rFonts w:ascii="Times New Roman" w:hAnsi="Times New Roman"/>
        <w:noProof/>
        <w:spacing w:val="-10"/>
        <w:sz w:val="28"/>
        <w:szCs w:val="28"/>
        <w:lang w:val="zh-CN"/>
      </w:rPr>
      <w:t>6</w:t>
    </w:r>
    <w:r w:rsidRPr="004F62F2">
      <w:rPr>
        <w:rFonts w:ascii="Times New Roman" w:hAnsi="Times New Roman"/>
        <w:spacing w:val="-10"/>
        <w:sz w:val="28"/>
        <w:szCs w:val="28"/>
      </w:rPr>
      <w:fldChar w:fldCharType="end"/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285" w:rsidRDefault="006004DC" w:rsidP="00AC7C7B">
    <w:pPr>
      <w:pStyle w:val="a3"/>
      <w:jc w:val="right"/>
      <w:rPr>
        <w:rStyle w:val="NormalCharacter"/>
        <w:rFonts w:ascii="Times New Roman" w:hAnsi="Times New Roman"/>
        <w:spacing w:val="-10"/>
        <w:sz w:val="28"/>
        <w:szCs w:val="28"/>
      </w:rPr>
    </w:pPr>
    <w:r w:rsidRPr="004F62F2">
      <w:rPr>
        <w:rFonts w:ascii="Times New Roman" w:hAnsi="Times New Roman" w:hint="eastAsia"/>
        <w:spacing w:val="-10"/>
        <w:sz w:val="28"/>
        <w:szCs w:val="28"/>
      </w:rPr>
      <w:t>—</w:t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/>
        <w:spacing w:val="-10"/>
        <w:sz w:val="28"/>
        <w:szCs w:val="28"/>
      </w:rPr>
      <w:fldChar w:fldCharType="begin"/>
    </w:r>
    <w:r w:rsidRPr="004F62F2"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Pr="004F62F2">
      <w:rPr>
        <w:rFonts w:ascii="Times New Roman" w:hAnsi="Times New Roman"/>
        <w:spacing w:val="-10"/>
        <w:sz w:val="28"/>
        <w:szCs w:val="28"/>
      </w:rPr>
      <w:fldChar w:fldCharType="separate"/>
    </w:r>
    <w:r w:rsidRPr="006004DC">
      <w:rPr>
        <w:rFonts w:ascii="Times New Roman" w:hAnsi="Times New Roman"/>
        <w:noProof/>
        <w:spacing w:val="-10"/>
        <w:sz w:val="28"/>
        <w:szCs w:val="28"/>
        <w:lang w:val="zh-CN"/>
      </w:rPr>
      <w:t>2</w:t>
    </w:r>
    <w:r w:rsidRPr="004F62F2">
      <w:rPr>
        <w:rFonts w:ascii="Times New Roman" w:hAnsi="Times New Roman"/>
        <w:spacing w:val="-10"/>
        <w:sz w:val="28"/>
        <w:szCs w:val="28"/>
      </w:rPr>
      <w:fldChar w:fldCharType="end"/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FC" w:rsidRDefault="006004DC" w:rsidP="003E57FC">
    <w:pPr>
      <w:pStyle w:val="a3"/>
      <w:jc w:val="center"/>
      <w:rPr>
        <w:rStyle w:val="NormalCharacter"/>
        <w:rFonts w:ascii="Times New Roman" w:hAnsi="Times New Roman"/>
        <w:spacing w:val="-10"/>
        <w:sz w:val="28"/>
        <w:szCs w:val="28"/>
      </w:rPr>
    </w:pPr>
    <w:r w:rsidRPr="004F62F2">
      <w:rPr>
        <w:rFonts w:ascii="Times New Roman" w:hAnsi="Times New Roman" w:hint="eastAsia"/>
        <w:spacing w:val="-10"/>
        <w:sz w:val="28"/>
        <w:szCs w:val="28"/>
      </w:rPr>
      <w:t>—</w:t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/>
        <w:spacing w:val="-10"/>
        <w:sz w:val="28"/>
        <w:szCs w:val="28"/>
      </w:rPr>
      <w:fldChar w:fldCharType="begin"/>
    </w:r>
    <w:r w:rsidRPr="004F62F2"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Pr="004F62F2">
      <w:rPr>
        <w:rFonts w:ascii="Times New Roman" w:hAnsi="Times New Roman"/>
        <w:spacing w:val="-10"/>
        <w:sz w:val="28"/>
        <w:szCs w:val="28"/>
      </w:rPr>
      <w:fldChar w:fldCharType="separate"/>
    </w:r>
    <w:r w:rsidRPr="005611BA">
      <w:rPr>
        <w:rFonts w:ascii="Times New Roman" w:hAnsi="Times New Roman"/>
        <w:noProof/>
        <w:spacing w:val="-10"/>
        <w:sz w:val="28"/>
        <w:szCs w:val="28"/>
        <w:lang w:val="zh-CN"/>
      </w:rPr>
      <w:t>8</w:t>
    </w:r>
    <w:r w:rsidRPr="004F62F2">
      <w:rPr>
        <w:rFonts w:ascii="Times New Roman" w:hAnsi="Times New Roman"/>
        <w:spacing w:val="-10"/>
        <w:sz w:val="28"/>
        <w:szCs w:val="28"/>
      </w:rPr>
      <w:fldChar w:fldCharType="end"/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F0" w:rsidRDefault="006004DC" w:rsidP="00965DF0">
    <w:pPr>
      <w:pStyle w:val="a3"/>
      <w:jc w:val="center"/>
      <w:rPr>
        <w:rStyle w:val="NormalCharacter"/>
        <w:rFonts w:ascii="Times New Roman" w:hAnsi="Times New Roman"/>
        <w:spacing w:val="-10"/>
        <w:sz w:val="28"/>
        <w:szCs w:val="28"/>
      </w:rPr>
    </w:pPr>
    <w:r w:rsidRPr="004F62F2">
      <w:rPr>
        <w:rFonts w:ascii="Times New Roman" w:hAnsi="Times New Roman" w:hint="eastAsia"/>
        <w:spacing w:val="-10"/>
        <w:sz w:val="28"/>
        <w:szCs w:val="28"/>
      </w:rPr>
      <w:t>—</w:t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/>
        <w:spacing w:val="-10"/>
        <w:sz w:val="28"/>
        <w:szCs w:val="28"/>
      </w:rPr>
      <w:fldChar w:fldCharType="begin"/>
    </w:r>
    <w:r w:rsidRPr="004F62F2"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 w:rsidRPr="004F62F2">
      <w:rPr>
        <w:rFonts w:ascii="Times New Roman" w:hAnsi="Times New Roman"/>
        <w:spacing w:val="-10"/>
        <w:sz w:val="28"/>
        <w:szCs w:val="28"/>
      </w:rPr>
      <w:fldChar w:fldCharType="separate"/>
    </w:r>
    <w:r w:rsidRPr="006004DC">
      <w:rPr>
        <w:rFonts w:ascii="Times New Roman" w:hAnsi="Times New Roman"/>
        <w:noProof/>
        <w:spacing w:val="-10"/>
        <w:sz w:val="28"/>
        <w:szCs w:val="28"/>
        <w:lang w:val="zh-CN"/>
      </w:rPr>
      <w:t>3</w:t>
    </w:r>
    <w:r w:rsidRPr="004F62F2">
      <w:rPr>
        <w:rFonts w:ascii="Times New Roman" w:hAnsi="Times New Roman"/>
        <w:spacing w:val="-10"/>
        <w:sz w:val="28"/>
        <w:szCs w:val="28"/>
      </w:rPr>
      <w:fldChar w:fldCharType="end"/>
    </w:r>
    <w:r w:rsidRPr="004F62F2">
      <w:rPr>
        <w:rFonts w:ascii="Times New Roman" w:hAnsi="Times New Roman" w:hint="eastAsia"/>
        <w:spacing w:val="-10"/>
        <w:sz w:val="28"/>
        <w:szCs w:val="28"/>
      </w:rPr>
      <w:t xml:space="preserve"> </w:t>
    </w:r>
    <w:r w:rsidRPr="004F62F2">
      <w:rPr>
        <w:rFonts w:ascii="Times New Roman" w:hAnsi="Times New Roman" w:hint="eastAsia"/>
        <w:spacing w:val="-10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4DC"/>
    <w:rsid w:val="00174399"/>
    <w:rsid w:val="0050689C"/>
    <w:rsid w:val="006004DC"/>
    <w:rsid w:val="00601840"/>
    <w:rsid w:val="00783519"/>
    <w:rsid w:val="0089537B"/>
    <w:rsid w:val="00A160CE"/>
    <w:rsid w:val="00BF0498"/>
    <w:rsid w:val="00DB23E0"/>
    <w:rsid w:val="00F37D4E"/>
    <w:rsid w:val="00FA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DC"/>
    <w:pPr>
      <w:jc w:val="both"/>
      <w:textAlignment w:val="baseline"/>
    </w:pPr>
    <w:rPr>
      <w:rFonts w:ascii="仿宋_GB2312" w:eastAsia="仿宋_GB2312" w:hAnsi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04DC"/>
    <w:rPr>
      <w:rFonts w:ascii="仿宋_GB2312" w:eastAsia="仿宋_GB2312" w:hAnsi="宋体"/>
      <w:color w:val="000000"/>
      <w:sz w:val="18"/>
      <w:szCs w:val="18"/>
    </w:rPr>
  </w:style>
  <w:style w:type="character" w:customStyle="1" w:styleId="NormalCharacter">
    <w:name w:val="NormalCharacter"/>
    <w:semiHidden/>
    <w:rsid w:val="006004DC"/>
  </w:style>
  <w:style w:type="paragraph" w:customStyle="1" w:styleId="UserStyle8">
    <w:name w:val="UserStyle_8"/>
    <w:rsid w:val="006004DC"/>
    <w:pPr>
      <w:jc w:val="both"/>
      <w:textAlignment w:val="baseline"/>
    </w:pPr>
    <w:rPr>
      <w:rFonts w:ascii="Calibri" w:eastAsia="Calibri" w:hAnsi="Calibri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zhangjing</cp:lastModifiedBy>
  <cp:revision>1</cp:revision>
  <dcterms:created xsi:type="dcterms:W3CDTF">2020-04-22T08:42:00Z</dcterms:created>
  <dcterms:modified xsi:type="dcterms:W3CDTF">2020-04-22T08:46:00Z</dcterms:modified>
</cp:coreProperties>
</file>